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C0C2D" w14:textId="77777777" w:rsidR="009E0EA8" w:rsidRPr="00F4284B" w:rsidRDefault="009E0EA8" w:rsidP="003C6D90">
      <w:pPr>
        <w:pStyle w:val="Heading2"/>
        <w:spacing w:before="0" w:after="0"/>
        <w:jc w:val="both"/>
        <w:rPr>
          <w:rFonts w:ascii="Aptos" w:hAnsi="Aptos"/>
          <w:i w:val="0"/>
          <w:sz w:val="36"/>
          <w:szCs w:val="36"/>
        </w:rPr>
      </w:pPr>
      <w:r w:rsidRPr="00F4284B">
        <w:rPr>
          <w:rFonts w:ascii="Aptos" w:hAnsi="Aptos"/>
          <w:i w:val="0"/>
          <w:sz w:val="36"/>
          <w:szCs w:val="36"/>
        </w:rPr>
        <w:t xml:space="preserve">Literature List </w:t>
      </w:r>
      <w:r w:rsidRPr="00F4284B">
        <w:rPr>
          <w:rFonts w:ascii="Aptos" w:hAnsi="Aptos"/>
          <w:i w:val="0"/>
          <w:sz w:val="36"/>
          <w:szCs w:val="36"/>
          <w:vertAlign w:val="superscript"/>
        </w:rPr>
        <w:t>(Note 2)</w:t>
      </w:r>
      <w:r w:rsidRPr="00F4284B">
        <w:rPr>
          <w:rFonts w:ascii="Aptos" w:hAnsi="Aptos"/>
          <w:i w:val="0"/>
          <w:sz w:val="36"/>
          <w:szCs w:val="36"/>
        </w:rPr>
        <w:t xml:space="preserve"> </w:t>
      </w:r>
    </w:p>
    <w:p w14:paraId="7108B9D6" w14:textId="77777777" w:rsidR="009E0EA8" w:rsidRPr="002823E9" w:rsidRDefault="009E0EA8" w:rsidP="003C6D90">
      <w:pPr>
        <w:jc w:val="both"/>
        <w:rPr>
          <w:rFonts w:ascii="Aptos" w:hAnsi="Aptos" w:cs="Arial"/>
          <w:sz w:val="20"/>
          <w:szCs w:val="20"/>
        </w:rPr>
      </w:pPr>
    </w:p>
    <w:p w14:paraId="04D877F3" w14:textId="382B5280" w:rsidR="00C06F53" w:rsidRPr="002823E9" w:rsidRDefault="00C06F53" w:rsidP="003C6D90">
      <w:pPr>
        <w:jc w:val="both"/>
        <w:rPr>
          <w:rFonts w:ascii="Aptos" w:hAnsi="Aptos" w:cs="Arial"/>
          <w:sz w:val="20"/>
          <w:szCs w:val="20"/>
        </w:rPr>
      </w:pPr>
      <w:r w:rsidRPr="002823E9">
        <w:rPr>
          <w:rFonts w:ascii="Aptos" w:hAnsi="Aptos" w:cs="Arial"/>
          <w:sz w:val="20"/>
          <w:szCs w:val="20"/>
        </w:rPr>
        <w:t xml:space="preserve">List of literature </w:t>
      </w:r>
      <w:r w:rsidRPr="002823E9">
        <w:rPr>
          <w:rFonts w:ascii="Aptos" w:hAnsi="Aptos" w:cs="Arial"/>
          <w:sz w:val="20"/>
          <w:szCs w:val="20"/>
          <w:u w:val="single"/>
        </w:rPr>
        <w:t>to be submitted with the offer</w:t>
      </w:r>
      <w:r w:rsidRPr="002823E9">
        <w:rPr>
          <w:rFonts w:ascii="Aptos" w:hAnsi="Aptos" w:cs="Arial"/>
          <w:sz w:val="20"/>
          <w:szCs w:val="20"/>
        </w:rPr>
        <w:t>.</w:t>
      </w:r>
    </w:p>
    <w:p w14:paraId="7F7E47BE" w14:textId="77777777" w:rsidR="00C06F53" w:rsidRPr="002823E9" w:rsidRDefault="00C06F53" w:rsidP="003C6D90">
      <w:pPr>
        <w:jc w:val="both"/>
        <w:rPr>
          <w:rFonts w:ascii="Aptos" w:hAnsi="Aptos" w:cs="Arial"/>
          <w:b/>
          <w:sz w:val="20"/>
          <w:szCs w:val="20"/>
        </w:rPr>
      </w:pPr>
    </w:p>
    <w:p w14:paraId="2A933325" w14:textId="77777777" w:rsidR="00C06F53" w:rsidRDefault="00C06F53" w:rsidP="003C6D90">
      <w:pPr>
        <w:pStyle w:val="Hang1"/>
        <w:spacing w:line="360" w:lineRule="auto"/>
        <w:ind w:left="0" w:firstLine="0"/>
        <w:rPr>
          <w:rFonts w:ascii="Aptos" w:hAnsi="Aptos" w:cs="Arial"/>
          <w:sz w:val="20"/>
        </w:rPr>
      </w:pPr>
      <w:r w:rsidRPr="002823E9">
        <w:rPr>
          <w:rFonts w:ascii="Aptos" w:hAnsi="Aptos" w:cs="Arial"/>
          <w:sz w:val="20"/>
        </w:rPr>
        <w:t>Supporting documents and printed manufacturer’s technical literature furnished by the tenderer may be in another language, provided they are accompanied by an accurate translation into English. For the purposes of interpretation of the tender, the English language will prevail.</w:t>
      </w:r>
    </w:p>
    <w:p w14:paraId="68ADE477" w14:textId="77777777" w:rsidR="003C6D90" w:rsidRPr="002823E9" w:rsidRDefault="003C6D90" w:rsidP="003C6D90">
      <w:pPr>
        <w:pStyle w:val="Hang1"/>
        <w:spacing w:line="360" w:lineRule="auto"/>
        <w:ind w:left="0" w:firstLine="0"/>
        <w:rPr>
          <w:rFonts w:ascii="Aptos" w:hAnsi="Aptos" w:cs="Arial"/>
          <w:sz w:val="20"/>
        </w:rPr>
      </w:pPr>
    </w:p>
    <w:p w14:paraId="6C1DD44D" w14:textId="77777777" w:rsidR="00C06F53" w:rsidRDefault="00C06F53" w:rsidP="003C6D90">
      <w:pPr>
        <w:pStyle w:val="bullet-3"/>
        <w:widowControl/>
        <w:spacing w:before="0" w:line="360" w:lineRule="auto"/>
        <w:ind w:left="0" w:firstLine="0"/>
        <w:rPr>
          <w:rFonts w:ascii="Aptos" w:hAnsi="Aptos" w:cs="Arial"/>
          <w:b/>
          <w:sz w:val="20"/>
          <w:u w:val="single"/>
        </w:rPr>
      </w:pPr>
      <w:r w:rsidRPr="002823E9">
        <w:rPr>
          <w:rFonts w:ascii="Aptos" w:hAnsi="Aptos" w:cs="Arial"/>
          <w:sz w:val="20"/>
        </w:rPr>
        <w:t xml:space="preserve">ALL BIDDERS ARE TO NOTE THAT PHOTOS SUBMITTED AS MANUFACTURER‘S TECHNICAL LITERATURE </w:t>
      </w:r>
      <w:r w:rsidRPr="002823E9">
        <w:rPr>
          <w:rFonts w:ascii="Aptos" w:hAnsi="Aptos" w:cs="Arial"/>
          <w:b/>
          <w:sz w:val="20"/>
          <w:u w:val="single"/>
        </w:rPr>
        <w:t>SHALL NOT SUFFICE</w:t>
      </w:r>
      <w:r w:rsidRPr="002823E9">
        <w:rPr>
          <w:rFonts w:ascii="Aptos" w:hAnsi="Aptos" w:cs="Arial"/>
          <w:sz w:val="20"/>
        </w:rPr>
        <w:t xml:space="preserve"> AND ACCORDINGLY THESE </w:t>
      </w:r>
      <w:r w:rsidRPr="002823E9">
        <w:rPr>
          <w:rFonts w:ascii="Aptos" w:hAnsi="Aptos" w:cs="Arial"/>
          <w:b/>
          <w:sz w:val="20"/>
          <w:u w:val="single"/>
        </w:rPr>
        <w:t>MUST BE DULY ACCOMPANIED BY THE RESPECTIVE DETAILED MANUFACTURER‘S TECHNICAL LITERATURE.</w:t>
      </w:r>
    </w:p>
    <w:p w14:paraId="32F984F8" w14:textId="77777777" w:rsidR="003C6D90" w:rsidRPr="002823E9" w:rsidRDefault="003C6D90" w:rsidP="003C6D90">
      <w:pPr>
        <w:pStyle w:val="bullet-3"/>
        <w:widowControl/>
        <w:spacing w:before="0" w:line="360" w:lineRule="auto"/>
        <w:ind w:left="0" w:firstLine="0"/>
        <w:rPr>
          <w:rFonts w:ascii="Aptos" w:hAnsi="Aptos" w:cs="Arial"/>
          <w:b/>
          <w:sz w:val="20"/>
          <w:u w:val="single"/>
        </w:rPr>
      </w:pPr>
    </w:p>
    <w:p w14:paraId="4F668136" w14:textId="77777777" w:rsidR="00C06F53" w:rsidRDefault="00C06F53" w:rsidP="003C6D90">
      <w:pPr>
        <w:pStyle w:val="bullet-3"/>
        <w:widowControl/>
        <w:spacing w:before="0" w:line="360" w:lineRule="auto"/>
        <w:ind w:left="0" w:firstLine="0"/>
        <w:rPr>
          <w:rFonts w:ascii="Aptos" w:hAnsi="Aptos" w:cs="Arial"/>
          <w:sz w:val="20"/>
        </w:rPr>
      </w:pPr>
      <w:r w:rsidRPr="002823E9">
        <w:rPr>
          <w:rFonts w:ascii="Aptos" w:hAnsi="Aptos" w:cs="Arial"/>
          <w:sz w:val="20"/>
        </w:rPr>
        <w:t xml:space="preserve">The submission shall be in a structured form </w:t>
      </w:r>
      <w:r w:rsidRPr="002823E9">
        <w:rPr>
          <w:rFonts w:ascii="Aptos" w:hAnsi="Aptos" w:cs="Arial"/>
          <w:sz w:val="20"/>
          <w:u w:val="single"/>
        </w:rPr>
        <w:t>and is to be in the same sequence as listed hereunder</w:t>
      </w:r>
      <w:r w:rsidRPr="002823E9">
        <w:rPr>
          <w:rFonts w:ascii="Aptos" w:hAnsi="Aptos" w:cs="Arial"/>
          <w:sz w:val="20"/>
        </w:rPr>
        <w:t xml:space="preserve"> for ease of reference and evaluation.</w:t>
      </w:r>
    </w:p>
    <w:p w14:paraId="19376F77" w14:textId="77777777" w:rsidR="003C6D90" w:rsidRPr="002823E9" w:rsidRDefault="003C6D90" w:rsidP="003C6D90">
      <w:pPr>
        <w:pStyle w:val="bullet-3"/>
        <w:widowControl/>
        <w:spacing w:before="0" w:line="360" w:lineRule="auto"/>
        <w:ind w:left="0" w:firstLine="0"/>
        <w:rPr>
          <w:rFonts w:ascii="Aptos" w:hAnsi="Aptos" w:cs="Arial"/>
          <w:sz w:val="20"/>
        </w:rPr>
      </w:pPr>
    </w:p>
    <w:p w14:paraId="3D0B953B" w14:textId="77777777" w:rsidR="009B2038" w:rsidRPr="002823E9" w:rsidRDefault="009B2038" w:rsidP="003C6D90">
      <w:pPr>
        <w:pStyle w:val="ListParagraph"/>
        <w:spacing w:line="360" w:lineRule="auto"/>
        <w:ind w:left="0"/>
        <w:jc w:val="both"/>
        <w:rPr>
          <w:rFonts w:ascii="Aptos" w:hAnsi="Aptos" w:cstheme="minorHAnsi"/>
          <w:sz w:val="20"/>
          <w:szCs w:val="20"/>
        </w:rPr>
      </w:pPr>
      <w:r w:rsidRPr="002823E9">
        <w:rPr>
          <w:rFonts w:ascii="Aptos" w:hAnsi="Aptos" w:cstheme="minorHAnsi"/>
          <w:sz w:val="20"/>
          <w:szCs w:val="20"/>
        </w:rPr>
        <w:t>Economic operators are to declare that they would be in a position to provide the following works and documentation:</w:t>
      </w:r>
    </w:p>
    <w:p w14:paraId="21F64DDA" w14:textId="7760CA00" w:rsidR="00CA09D0" w:rsidRPr="002823E9" w:rsidRDefault="00CA09D0" w:rsidP="003C6D90">
      <w:pPr>
        <w:jc w:val="both"/>
        <w:rPr>
          <w:rFonts w:ascii="Aptos" w:hAnsi="Aptos"/>
          <w:b/>
          <w:sz w:val="20"/>
          <w:szCs w:val="20"/>
        </w:rPr>
      </w:pPr>
    </w:p>
    <w:p w14:paraId="01C8C8F6" w14:textId="0EFA8D58" w:rsidR="0010555F" w:rsidRPr="002823E9" w:rsidRDefault="0010555F" w:rsidP="003C6D90">
      <w:pPr>
        <w:pStyle w:val="Heading1"/>
        <w:spacing w:before="0"/>
        <w:jc w:val="both"/>
        <w:rPr>
          <w:rFonts w:ascii="Aptos" w:hAnsi="Aptos" w:cstheme="minorHAnsi"/>
          <w:b/>
          <w:bCs/>
          <w:sz w:val="20"/>
          <w:szCs w:val="20"/>
        </w:rPr>
      </w:pPr>
      <w:r w:rsidRPr="002823E9">
        <w:rPr>
          <w:rFonts w:ascii="Aptos" w:hAnsi="Aptos" w:cstheme="minorHAnsi"/>
          <w:sz w:val="20"/>
          <w:szCs w:val="20"/>
        </w:rPr>
        <w:t>Green Public Procurement (GPP)</w:t>
      </w:r>
    </w:p>
    <w:p w14:paraId="0ED23A6B" w14:textId="77777777" w:rsidR="0010555F" w:rsidRPr="002823E9" w:rsidRDefault="0010555F" w:rsidP="003C6D90">
      <w:pPr>
        <w:jc w:val="both"/>
        <w:rPr>
          <w:rFonts w:ascii="Aptos" w:hAnsi="Aptos"/>
          <w:sz w:val="20"/>
          <w:szCs w:val="20"/>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8866"/>
      </w:tblGrid>
      <w:tr w:rsidR="009B2038" w:rsidRPr="002823E9" w14:paraId="06ADEA9B" w14:textId="77777777" w:rsidTr="00926041">
        <w:trPr>
          <w:trHeight w:val="511"/>
          <w:jc w:val="center"/>
        </w:trPr>
        <w:tc>
          <w:tcPr>
            <w:tcW w:w="500"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3B2B489" w14:textId="3F250065" w:rsidR="009B2038" w:rsidRPr="002823E9" w:rsidRDefault="009B2038" w:rsidP="003C6D90">
            <w:pPr>
              <w:pStyle w:val="ListParagraph"/>
              <w:numPr>
                <w:ilvl w:val="0"/>
                <w:numId w:val="14"/>
              </w:numPr>
              <w:ind w:left="549"/>
              <w:jc w:val="both"/>
              <w:rPr>
                <w:rFonts w:ascii="Aptos" w:hAnsi="Aptos" w:cstheme="minorHAnsi"/>
                <w:b/>
                <w:bCs/>
                <w:sz w:val="20"/>
                <w:szCs w:val="20"/>
              </w:rPr>
            </w:pPr>
          </w:p>
        </w:tc>
        <w:tc>
          <w:tcPr>
            <w:tcW w:w="8866"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79C49C52" w14:textId="41A9D530" w:rsidR="009B2038" w:rsidRPr="002823E9" w:rsidRDefault="009B2038"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 xml:space="preserve">Paint Formulation: Section </w:t>
            </w:r>
            <w:r w:rsidR="00413358">
              <w:rPr>
                <w:rFonts w:ascii="Aptos" w:hAnsi="Aptos" w:cstheme="minorHAnsi"/>
                <w:b/>
                <w:bCs/>
                <w:sz w:val="20"/>
                <w:szCs w:val="20"/>
              </w:rPr>
              <w:t>4</w:t>
            </w:r>
            <w:r w:rsidRPr="002823E9">
              <w:rPr>
                <w:rFonts w:ascii="Aptos" w:hAnsi="Aptos" w:cstheme="minorHAnsi"/>
                <w:b/>
                <w:bCs/>
                <w:sz w:val="20"/>
                <w:szCs w:val="20"/>
              </w:rPr>
              <w:t xml:space="preserve"> – Technical Specifications, Clause </w:t>
            </w:r>
            <w:r w:rsidR="00413358">
              <w:rPr>
                <w:rFonts w:ascii="Aptos" w:hAnsi="Aptos" w:cstheme="minorHAnsi"/>
                <w:b/>
                <w:bCs/>
                <w:sz w:val="20"/>
                <w:szCs w:val="20"/>
              </w:rPr>
              <w:t>3.5.1</w:t>
            </w:r>
          </w:p>
        </w:tc>
      </w:tr>
      <w:tr w:rsidR="00E76AE7" w:rsidRPr="002823E9" w14:paraId="5F599C6A" w14:textId="77777777" w:rsidTr="00926041">
        <w:trPr>
          <w:trHeight w:val="511"/>
          <w:jc w:val="center"/>
        </w:trPr>
        <w:tc>
          <w:tcPr>
            <w:tcW w:w="500" w:type="dxa"/>
            <w:vAlign w:val="center"/>
          </w:tcPr>
          <w:p w14:paraId="49573C4F" w14:textId="77777777" w:rsidR="00E76AE7" w:rsidRPr="002823E9" w:rsidRDefault="00E76AE7" w:rsidP="003C6D90">
            <w:pPr>
              <w:numPr>
                <w:ilvl w:val="12"/>
                <w:numId w:val="0"/>
              </w:numPr>
              <w:ind w:left="22" w:hanging="22"/>
              <w:jc w:val="both"/>
              <w:rPr>
                <w:rFonts w:ascii="Aptos" w:hAnsi="Aptos" w:cstheme="minorHAnsi"/>
                <w:b/>
                <w:bCs/>
                <w:sz w:val="20"/>
                <w:szCs w:val="20"/>
              </w:rPr>
            </w:pPr>
          </w:p>
        </w:tc>
        <w:tc>
          <w:tcPr>
            <w:tcW w:w="8866" w:type="dxa"/>
            <w:vAlign w:val="center"/>
          </w:tcPr>
          <w:p w14:paraId="32B18575" w14:textId="4174C89F" w:rsidR="00E76AE7" w:rsidRPr="002823E9" w:rsidRDefault="00E76AE7"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White Pigment Content</w:t>
            </w:r>
          </w:p>
        </w:tc>
      </w:tr>
      <w:tr w:rsidR="00125A23" w:rsidRPr="002823E9" w14:paraId="744AC8D5" w14:textId="77777777" w:rsidTr="00926041">
        <w:trPr>
          <w:trHeight w:val="1697"/>
          <w:jc w:val="center"/>
        </w:trPr>
        <w:tc>
          <w:tcPr>
            <w:tcW w:w="500" w:type="dxa"/>
            <w:shd w:val="clear" w:color="auto" w:fill="D9D9D9" w:themeFill="background1" w:themeFillShade="D9"/>
            <w:vAlign w:val="center"/>
          </w:tcPr>
          <w:p w14:paraId="5CA07B98" w14:textId="5FDE2609" w:rsidR="00125A23" w:rsidRPr="0074290D"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4F3AF1A6" w14:textId="77777777" w:rsidR="002E7149" w:rsidRPr="002E7149" w:rsidRDefault="002E7149" w:rsidP="002E7149">
            <w:pPr>
              <w:pStyle w:val="TableParagraph"/>
              <w:ind w:right="55"/>
              <w:jc w:val="both"/>
              <w:rPr>
                <w:rFonts w:ascii="Aptos" w:eastAsia="Times New Roman" w:hAnsi="Aptos" w:cstheme="minorHAnsi"/>
                <w:color w:val="000000"/>
                <w:sz w:val="20"/>
                <w:szCs w:val="20"/>
                <w:lang w:val="en-GB" w:eastAsia="en-GB"/>
              </w:rPr>
            </w:pPr>
            <w:r w:rsidRPr="002E7149">
              <w:rPr>
                <w:rFonts w:ascii="Aptos" w:eastAsia="Times New Roman" w:hAnsi="Aptos" w:cstheme="minorHAnsi"/>
                <w:color w:val="000000"/>
                <w:sz w:val="20"/>
                <w:szCs w:val="20"/>
                <w:lang w:val="en-GB" w:eastAsia="en-GB"/>
              </w:rPr>
              <w:t>The tenderer shall provide documentation for the paint formulation showing the content of white pigments. Where required, Class 1 wet scrub resistance shall be demonstrated based on a test report carried out according to EN 13300 using the method EN ISO 11998 (Test for cleanability and scrub resistance).</w:t>
            </w:r>
          </w:p>
          <w:p w14:paraId="23554A98" w14:textId="77777777" w:rsidR="002E7149" w:rsidRPr="002E7149" w:rsidRDefault="002E7149" w:rsidP="002E7149">
            <w:pPr>
              <w:pStyle w:val="TableParagraph"/>
              <w:ind w:right="55"/>
              <w:jc w:val="both"/>
              <w:rPr>
                <w:rFonts w:ascii="Aptos" w:eastAsia="Times New Roman" w:hAnsi="Aptos" w:cstheme="minorHAnsi"/>
                <w:color w:val="000000"/>
                <w:sz w:val="20"/>
                <w:szCs w:val="20"/>
                <w:lang w:val="en-GB" w:eastAsia="en-GB"/>
              </w:rPr>
            </w:pPr>
          </w:p>
          <w:p w14:paraId="500B7391" w14:textId="1A1B622B" w:rsidR="00125A23" w:rsidRPr="002823E9" w:rsidRDefault="002E7149" w:rsidP="002E7149">
            <w:pPr>
              <w:jc w:val="both"/>
              <w:rPr>
                <w:rFonts w:ascii="Aptos" w:hAnsi="Aptos" w:cstheme="minorHAnsi"/>
                <w:sz w:val="20"/>
                <w:szCs w:val="20"/>
              </w:rPr>
            </w:pPr>
            <w:r w:rsidRPr="002E7149">
              <w:rPr>
                <w:rFonts w:ascii="Aptos" w:hAnsi="Aptos" w:cstheme="minorHAnsi"/>
                <w:color w:val="000000"/>
                <w:sz w:val="20"/>
                <w:szCs w:val="20"/>
                <w:lang w:val="en-GB" w:eastAsia="en-GB"/>
              </w:rPr>
              <w:t>Products which have been awarded the EU Ecolabel for paints and varnishes, as established in Commission Decision (EU) 2014/312/EU are deemed to comply.</w:t>
            </w:r>
          </w:p>
        </w:tc>
      </w:tr>
      <w:tr w:rsidR="00E76AE7" w:rsidRPr="002823E9" w14:paraId="45FBE7B8" w14:textId="77777777" w:rsidTr="00926041">
        <w:trPr>
          <w:trHeight w:val="511"/>
          <w:jc w:val="center"/>
        </w:trPr>
        <w:tc>
          <w:tcPr>
            <w:tcW w:w="500" w:type="dxa"/>
            <w:vAlign w:val="center"/>
          </w:tcPr>
          <w:p w14:paraId="568F2DD1" w14:textId="77777777" w:rsidR="00E76AE7" w:rsidRPr="002823E9" w:rsidRDefault="00E76AE7" w:rsidP="003C6D90">
            <w:pPr>
              <w:numPr>
                <w:ilvl w:val="12"/>
                <w:numId w:val="0"/>
              </w:numPr>
              <w:ind w:left="22" w:hanging="22"/>
              <w:jc w:val="both"/>
              <w:rPr>
                <w:rFonts w:ascii="Aptos" w:hAnsi="Aptos" w:cstheme="minorHAnsi"/>
                <w:b/>
                <w:bCs/>
                <w:sz w:val="20"/>
                <w:szCs w:val="20"/>
              </w:rPr>
            </w:pPr>
          </w:p>
        </w:tc>
        <w:tc>
          <w:tcPr>
            <w:tcW w:w="8866" w:type="dxa"/>
            <w:vAlign w:val="center"/>
          </w:tcPr>
          <w:p w14:paraId="4DDD831E" w14:textId="0D81BF0B" w:rsidR="00E76AE7" w:rsidRPr="002823E9" w:rsidRDefault="00517C5D"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Content of Volatile Organic Compounds</w:t>
            </w:r>
          </w:p>
        </w:tc>
      </w:tr>
      <w:tr w:rsidR="00125A23" w:rsidRPr="002823E9" w14:paraId="27E36900" w14:textId="77777777" w:rsidTr="00926041">
        <w:trPr>
          <w:trHeight w:val="1489"/>
          <w:jc w:val="center"/>
        </w:trPr>
        <w:tc>
          <w:tcPr>
            <w:tcW w:w="500" w:type="dxa"/>
            <w:shd w:val="clear" w:color="auto" w:fill="D9D9D9" w:themeFill="background1" w:themeFillShade="D9"/>
            <w:vAlign w:val="center"/>
          </w:tcPr>
          <w:p w14:paraId="740796A7" w14:textId="68662020"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2CAA3DB2" w14:textId="77777777" w:rsidR="00125A23" w:rsidRPr="002823E9" w:rsidRDefault="00125A23" w:rsidP="003C6D90">
            <w:pPr>
              <w:pStyle w:val="TableParagraph"/>
              <w:ind w:right="55"/>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The tenderer shall provide either:</w:t>
            </w:r>
          </w:p>
          <w:p w14:paraId="1A0DA65D" w14:textId="77777777" w:rsidR="00125A23" w:rsidRPr="002823E9" w:rsidRDefault="00125A23" w:rsidP="003C6D90">
            <w:pPr>
              <w:pStyle w:val="TableParagraph"/>
              <w:numPr>
                <w:ilvl w:val="0"/>
                <w:numId w:val="7"/>
              </w:numPr>
              <w:ind w:right="55"/>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calculation of the VOC content, supported, if available, by Safety Data Sheets or</w:t>
            </w:r>
          </w:p>
          <w:p w14:paraId="18B40951" w14:textId="77777777" w:rsidR="00125A23" w:rsidRPr="002823E9" w:rsidRDefault="00125A23" w:rsidP="003C6D90">
            <w:pPr>
              <w:pStyle w:val="TableParagraph"/>
              <w:numPr>
                <w:ilvl w:val="0"/>
                <w:numId w:val="7"/>
              </w:numPr>
              <w:ind w:right="55"/>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A test report carried out according to ISO 11890-2. Products with a VOC content lower than 1.0g/l shall be tested according to IS 17895</w:t>
            </w:r>
          </w:p>
          <w:p w14:paraId="4DD61F7F" w14:textId="77777777" w:rsidR="00125A23" w:rsidRPr="002823E9" w:rsidRDefault="00125A23" w:rsidP="003C6D90">
            <w:pPr>
              <w:pStyle w:val="TableParagraph"/>
              <w:ind w:right="55"/>
              <w:jc w:val="both"/>
              <w:rPr>
                <w:rFonts w:ascii="Aptos" w:eastAsia="Times New Roman" w:hAnsi="Aptos" w:cstheme="minorHAnsi"/>
                <w:color w:val="000000"/>
                <w:sz w:val="20"/>
                <w:szCs w:val="20"/>
                <w:lang w:val="en-GB" w:eastAsia="en-GB"/>
              </w:rPr>
            </w:pPr>
          </w:p>
          <w:p w14:paraId="2A833862" w14:textId="77777777" w:rsidR="00125A23" w:rsidRPr="002823E9" w:rsidRDefault="00125A23" w:rsidP="003C6D90">
            <w:pPr>
              <w:pStyle w:val="Default"/>
              <w:jc w:val="both"/>
              <w:rPr>
                <w:rFonts w:ascii="Aptos" w:hAnsi="Aptos" w:cstheme="minorHAnsi"/>
                <w:sz w:val="20"/>
                <w:szCs w:val="20"/>
              </w:rPr>
            </w:pPr>
            <w:r w:rsidRPr="002823E9">
              <w:rPr>
                <w:rFonts w:ascii="Aptos" w:hAnsi="Aptos" w:cstheme="minorHAnsi"/>
                <w:sz w:val="20"/>
                <w:szCs w:val="20"/>
              </w:rPr>
              <w:t>Products which have been awarded the EU Ecolabel for paints and varnishes, as established in Commission Decision (EU) 2014/312/EU are deemed to comply.</w:t>
            </w:r>
          </w:p>
        </w:tc>
      </w:tr>
      <w:tr w:rsidR="00517C5D" w:rsidRPr="002823E9" w14:paraId="20BE7CFA" w14:textId="77777777" w:rsidTr="00926041">
        <w:trPr>
          <w:trHeight w:val="511"/>
          <w:jc w:val="center"/>
        </w:trPr>
        <w:tc>
          <w:tcPr>
            <w:tcW w:w="500" w:type="dxa"/>
            <w:vAlign w:val="center"/>
          </w:tcPr>
          <w:p w14:paraId="7438ECC5" w14:textId="77777777" w:rsidR="00517C5D" w:rsidRPr="002823E9" w:rsidRDefault="00517C5D" w:rsidP="003C6D90">
            <w:pPr>
              <w:numPr>
                <w:ilvl w:val="12"/>
                <w:numId w:val="0"/>
              </w:numPr>
              <w:ind w:left="22" w:hanging="22"/>
              <w:jc w:val="both"/>
              <w:rPr>
                <w:rFonts w:ascii="Aptos" w:hAnsi="Aptos" w:cstheme="minorHAnsi"/>
                <w:b/>
                <w:bCs/>
                <w:sz w:val="20"/>
                <w:szCs w:val="20"/>
              </w:rPr>
            </w:pPr>
          </w:p>
        </w:tc>
        <w:tc>
          <w:tcPr>
            <w:tcW w:w="8866" w:type="dxa"/>
            <w:vAlign w:val="center"/>
          </w:tcPr>
          <w:p w14:paraId="46E02A2B" w14:textId="56697451" w:rsidR="00517C5D" w:rsidRPr="002823E9" w:rsidRDefault="00B34214"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Product hazard labelling</w:t>
            </w:r>
          </w:p>
        </w:tc>
      </w:tr>
      <w:tr w:rsidR="00125A23" w:rsidRPr="002823E9" w14:paraId="72D2444F" w14:textId="77777777" w:rsidTr="00926041">
        <w:trPr>
          <w:trHeight w:val="132"/>
          <w:jc w:val="center"/>
        </w:trPr>
        <w:tc>
          <w:tcPr>
            <w:tcW w:w="500" w:type="dxa"/>
            <w:shd w:val="clear" w:color="auto" w:fill="D9D9D9" w:themeFill="background1" w:themeFillShade="D9"/>
            <w:vAlign w:val="center"/>
          </w:tcPr>
          <w:p w14:paraId="5A3FF95E" w14:textId="30EB6B4E"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46F74EFF" w14:textId="77777777" w:rsidR="00125A23" w:rsidRPr="002823E9" w:rsidRDefault="00125A23" w:rsidP="003C6D90">
            <w:pPr>
              <w:pStyle w:val="TableParagraph"/>
              <w:ind w:right="55"/>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The tenderer shall provide appropriate documentation confirming that the products to be supplied are not classified with the listed hazards.</w:t>
            </w:r>
          </w:p>
          <w:p w14:paraId="189E734B" w14:textId="77777777" w:rsidR="00125A23" w:rsidRPr="002823E9" w:rsidRDefault="00125A23" w:rsidP="003C6D90">
            <w:pPr>
              <w:pStyle w:val="TableParagraph"/>
              <w:jc w:val="both"/>
              <w:rPr>
                <w:rFonts w:ascii="Aptos" w:eastAsia="Times New Roman" w:hAnsi="Aptos" w:cstheme="minorHAnsi"/>
                <w:color w:val="000000"/>
                <w:sz w:val="20"/>
                <w:szCs w:val="20"/>
                <w:lang w:val="en-GB" w:eastAsia="en-GB"/>
              </w:rPr>
            </w:pPr>
          </w:p>
          <w:p w14:paraId="73DC1EA7" w14:textId="44B00249" w:rsidR="00125A23" w:rsidRPr="002823E9" w:rsidRDefault="00125A23" w:rsidP="003C6D90">
            <w:pPr>
              <w:pStyle w:val="TableParagraph"/>
              <w:jc w:val="both"/>
              <w:rPr>
                <w:rFonts w:ascii="Aptos" w:hAnsi="Aptos" w:cstheme="minorHAnsi"/>
                <w:b/>
                <w:bCs/>
                <w:sz w:val="20"/>
                <w:szCs w:val="20"/>
              </w:rPr>
            </w:pPr>
            <w:r w:rsidRPr="002823E9">
              <w:rPr>
                <w:rFonts w:ascii="Aptos" w:eastAsia="Times New Roman" w:hAnsi="Aptos" w:cstheme="minorHAnsi"/>
                <w:color w:val="000000"/>
                <w:sz w:val="20"/>
                <w:szCs w:val="20"/>
                <w:lang w:val="en-GB" w:eastAsia="en-GB"/>
              </w:rPr>
              <w:t>The documentation of the mixture classification shall be provided in accordance with the rules provided in Regulation (EC) No 1272/2008 (CLP Regulation) and/or Safety Data Sheets.</w:t>
            </w:r>
            <w:r w:rsidR="0074290D">
              <w:rPr>
                <w:rFonts w:ascii="Aptos" w:eastAsia="Times New Roman" w:hAnsi="Aptos" w:cstheme="minorHAnsi"/>
                <w:color w:val="000000"/>
                <w:sz w:val="20"/>
                <w:szCs w:val="20"/>
                <w:lang w:val="en-GB" w:eastAsia="en-GB"/>
              </w:rPr>
              <w:t xml:space="preserve"> </w:t>
            </w:r>
            <w:r w:rsidRPr="002823E9">
              <w:rPr>
                <w:rFonts w:ascii="Aptos" w:hAnsi="Aptos" w:cstheme="minorHAnsi"/>
                <w:sz w:val="20"/>
                <w:szCs w:val="20"/>
              </w:rPr>
              <w:t xml:space="preserve">Products which have been awarded the EU Ecolabel for paints and varnishes, as established in Commission Decision (EU) 2014/312/EU are deemed to comply. </w:t>
            </w:r>
          </w:p>
        </w:tc>
      </w:tr>
      <w:tr w:rsidR="00517C5D" w:rsidRPr="002823E9" w14:paraId="2317424C" w14:textId="77777777" w:rsidTr="00926041">
        <w:trPr>
          <w:trHeight w:val="511"/>
          <w:jc w:val="center"/>
        </w:trPr>
        <w:tc>
          <w:tcPr>
            <w:tcW w:w="500" w:type="dxa"/>
            <w:vAlign w:val="center"/>
          </w:tcPr>
          <w:p w14:paraId="46CD55FE" w14:textId="77777777" w:rsidR="00517C5D" w:rsidRPr="002823E9" w:rsidRDefault="00517C5D" w:rsidP="003C6D90">
            <w:pPr>
              <w:numPr>
                <w:ilvl w:val="12"/>
                <w:numId w:val="0"/>
              </w:numPr>
              <w:ind w:left="22" w:hanging="22"/>
              <w:jc w:val="both"/>
              <w:rPr>
                <w:rFonts w:ascii="Aptos" w:hAnsi="Aptos" w:cstheme="minorHAnsi"/>
                <w:b/>
                <w:bCs/>
                <w:sz w:val="20"/>
                <w:szCs w:val="20"/>
              </w:rPr>
            </w:pPr>
          </w:p>
        </w:tc>
        <w:tc>
          <w:tcPr>
            <w:tcW w:w="8866" w:type="dxa"/>
            <w:vAlign w:val="center"/>
          </w:tcPr>
          <w:p w14:paraId="4E68BC93" w14:textId="18DB8B81" w:rsidR="00517C5D" w:rsidRPr="002823E9" w:rsidRDefault="00691CCE"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Hazardous ingredients</w:t>
            </w:r>
          </w:p>
        </w:tc>
      </w:tr>
      <w:tr w:rsidR="00125A23" w:rsidRPr="002823E9" w14:paraId="7B2EA395" w14:textId="77777777" w:rsidTr="00926041">
        <w:trPr>
          <w:trHeight w:val="2468"/>
          <w:jc w:val="center"/>
        </w:trPr>
        <w:tc>
          <w:tcPr>
            <w:tcW w:w="500" w:type="dxa"/>
            <w:shd w:val="clear" w:color="auto" w:fill="D9D9D9" w:themeFill="background1" w:themeFillShade="D9"/>
            <w:vAlign w:val="center"/>
          </w:tcPr>
          <w:p w14:paraId="07939133" w14:textId="52805698"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1449250A" w14:textId="77777777" w:rsidR="00125A23" w:rsidRPr="002823E9" w:rsidRDefault="00125A23" w:rsidP="003C6D90">
            <w:pPr>
              <w:pStyle w:val="TableParagraph"/>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The tenderer shall provide appropriate documentation confirming compliance with the criterion, namely:</w:t>
            </w:r>
          </w:p>
          <w:p w14:paraId="1325FC60" w14:textId="77777777" w:rsidR="00125A23" w:rsidRPr="002823E9" w:rsidRDefault="00125A23" w:rsidP="003C6D90">
            <w:pPr>
              <w:pStyle w:val="TableParagraph"/>
              <w:numPr>
                <w:ilvl w:val="0"/>
                <w:numId w:val="8"/>
              </w:numPr>
              <w:tabs>
                <w:tab w:val="left" w:pos="169"/>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for preservatives and APEOs: Safety Data Sheets for the product mixture.</w:t>
            </w:r>
          </w:p>
          <w:p w14:paraId="334F98B0" w14:textId="77777777" w:rsidR="00125A23" w:rsidRPr="002823E9" w:rsidRDefault="00125A23" w:rsidP="003C6D90">
            <w:pPr>
              <w:pStyle w:val="TableParagraph"/>
              <w:numPr>
                <w:ilvl w:val="0"/>
                <w:numId w:val="8"/>
              </w:numPr>
              <w:tabs>
                <w:tab w:val="left" w:pos="167"/>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for phthalates: Safety Data Sheets for the product mixture.</w:t>
            </w:r>
          </w:p>
          <w:p w14:paraId="0FA1590E" w14:textId="77777777" w:rsidR="00125A23" w:rsidRPr="002823E9" w:rsidRDefault="00125A23" w:rsidP="003C6D90">
            <w:pPr>
              <w:pStyle w:val="TableParagraph"/>
              <w:numPr>
                <w:ilvl w:val="0"/>
                <w:numId w:val="8"/>
              </w:numPr>
              <w:tabs>
                <w:tab w:val="left" w:pos="167"/>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additionally for preservatives: a test report using OECD 305 Test Guideline can be used as an alternative to the Safety Data Sheet for the sole purpose of confirming that the preservatives used are non-bio-accumulative.</w:t>
            </w:r>
          </w:p>
          <w:p w14:paraId="3BE21BA5" w14:textId="77777777" w:rsidR="00125A23" w:rsidRPr="002823E9" w:rsidRDefault="00125A23" w:rsidP="003C6D90">
            <w:pPr>
              <w:pStyle w:val="TableParagraph"/>
              <w:numPr>
                <w:ilvl w:val="0"/>
                <w:numId w:val="8"/>
              </w:numPr>
              <w:tabs>
                <w:tab w:val="left" w:pos="169"/>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 xml:space="preserve">for formaldehyde: a test report based on the </w:t>
            </w:r>
            <w:proofErr w:type="spellStart"/>
            <w:r w:rsidRPr="002823E9">
              <w:rPr>
                <w:rFonts w:ascii="Aptos" w:eastAsia="Times New Roman" w:hAnsi="Aptos" w:cstheme="minorHAnsi"/>
                <w:color w:val="000000"/>
                <w:sz w:val="20"/>
                <w:szCs w:val="20"/>
                <w:lang w:val="en-GB" w:eastAsia="en-GB"/>
              </w:rPr>
              <w:t>Merckoquant</w:t>
            </w:r>
            <w:proofErr w:type="spellEnd"/>
            <w:r w:rsidRPr="002823E9">
              <w:rPr>
                <w:rFonts w:ascii="Aptos" w:eastAsia="Times New Roman" w:hAnsi="Aptos" w:cstheme="minorHAnsi"/>
                <w:color w:val="000000"/>
                <w:sz w:val="20"/>
                <w:szCs w:val="20"/>
                <w:lang w:val="en-GB" w:eastAsia="en-GB"/>
              </w:rPr>
              <w:t xml:space="preserve"> method or high-performance liquid chromatography (HPLC) method (See Annex 2),</w:t>
            </w:r>
          </w:p>
          <w:p w14:paraId="6C4B4D33" w14:textId="77777777" w:rsidR="00125A23" w:rsidRPr="002823E9" w:rsidRDefault="00125A23" w:rsidP="003C6D90">
            <w:pPr>
              <w:pStyle w:val="TableParagraph"/>
              <w:numPr>
                <w:ilvl w:val="0"/>
                <w:numId w:val="8"/>
              </w:numPr>
              <w:tabs>
                <w:tab w:val="left" w:pos="169"/>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for metals: a test report based on ISO 3856 series or equivalent.</w:t>
            </w:r>
          </w:p>
          <w:p w14:paraId="1FDD8994" w14:textId="77777777" w:rsidR="00125A23" w:rsidRPr="002823E9" w:rsidRDefault="00125A23" w:rsidP="003C6D90">
            <w:pPr>
              <w:pStyle w:val="TableParagraph"/>
              <w:jc w:val="both"/>
              <w:rPr>
                <w:rFonts w:ascii="Aptos" w:eastAsia="Times New Roman" w:hAnsi="Aptos" w:cstheme="minorHAnsi"/>
                <w:color w:val="000000"/>
                <w:sz w:val="20"/>
                <w:szCs w:val="20"/>
                <w:lang w:val="en-GB" w:eastAsia="en-GB"/>
              </w:rPr>
            </w:pPr>
          </w:p>
          <w:p w14:paraId="10F3A38C" w14:textId="77777777" w:rsidR="00125A23" w:rsidRPr="002823E9" w:rsidRDefault="00125A23" w:rsidP="003C6D90">
            <w:pPr>
              <w:pStyle w:val="Default"/>
              <w:jc w:val="both"/>
              <w:rPr>
                <w:rFonts w:ascii="Aptos" w:hAnsi="Aptos" w:cstheme="minorHAnsi"/>
                <w:sz w:val="20"/>
                <w:szCs w:val="20"/>
              </w:rPr>
            </w:pPr>
            <w:r w:rsidRPr="002823E9">
              <w:rPr>
                <w:rFonts w:ascii="Aptos" w:hAnsi="Aptos" w:cstheme="minorHAnsi"/>
                <w:sz w:val="20"/>
                <w:szCs w:val="20"/>
              </w:rPr>
              <w:t>Products which have been awarded the EU Ecolabel for paints and varnishes, as established in Commission Decision (EU) 2014/312/EU are deemed to comply.</w:t>
            </w:r>
          </w:p>
        </w:tc>
      </w:tr>
      <w:tr w:rsidR="00517C5D" w:rsidRPr="002823E9" w14:paraId="71D796C9" w14:textId="77777777" w:rsidTr="00926041">
        <w:trPr>
          <w:trHeight w:val="511"/>
          <w:jc w:val="center"/>
        </w:trPr>
        <w:tc>
          <w:tcPr>
            <w:tcW w:w="500" w:type="dxa"/>
            <w:vAlign w:val="center"/>
          </w:tcPr>
          <w:p w14:paraId="4E5730DB" w14:textId="77777777" w:rsidR="00517C5D" w:rsidRPr="002823E9" w:rsidRDefault="00517C5D" w:rsidP="003C6D90">
            <w:pPr>
              <w:numPr>
                <w:ilvl w:val="12"/>
                <w:numId w:val="0"/>
              </w:numPr>
              <w:ind w:left="22" w:hanging="22"/>
              <w:jc w:val="both"/>
              <w:rPr>
                <w:rFonts w:ascii="Aptos" w:hAnsi="Aptos" w:cstheme="minorHAnsi"/>
                <w:b/>
                <w:bCs/>
                <w:sz w:val="20"/>
                <w:szCs w:val="20"/>
              </w:rPr>
            </w:pPr>
          </w:p>
        </w:tc>
        <w:tc>
          <w:tcPr>
            <w:tcW w:w="8866" w:type="dxa"/>
            <w:vAlign w:val="center"/>
          </w:tcPr>
          <w:p w14:paraId="01FA13D5" w14:textId="1893ECD0" w:rsidR="00517C5D" w:rsidRPr="002823E9" w:rsidRDefault="00DA2FB2"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Spreading rate</w:t>
            </w:r>
          </w:p>
        </w:tc>
      </w:tr>
      <w:tr w:rsidR="00125A23" w:rsidRPr="002823E9" w14:paraId="544043EA" w14:textId="77777777" w:rsidTr="00926041">
        <w:trPr>
          <w:trHeight w:val="1862"/>
          <w:jc w:val="center"/>
        </w:trPr>
        <w:tc>
          <w:tcPr>
            <w:tcW w:w="500" w:type="dxa"/>
            <w:shd w:val="clear" w:color="auto" w:fill="D9D9D9" w:themeFill="background1" w:themeFillShade="D9"/>
            <w:vAlign w:val="center"/>
          </w:tcPr>
          <w:p w14:paraId="47468FE7" w14:textId="2086D518"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73A678C7" w14:textId="77777777" w:rsidR="00125A23" w:rsidRPr="002823E9" w:rsidRDefault="00125A23" w:rsidP="003C6D90">
            <w:pPr>
              <w:pStyle w:val="TableParagraph"/>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The tender shall provide a test report using the following methods, or their equivalent:</w:t>
            </w:r>
          </w:p>
          <w:p w14:paraId="0DAE23EC" w14:textId="77777777" w:rsidR="00125A23" w:rsidRPr="002823E9" w:rsidRDefault="00125A23" w:rsidP="003C6D90">
            <w:pPr>
              <w:pStyle w:val="TableParagraph"/>
              <w:numPr>
                <w:ilvl w:val="0"/>
                <w:numId w:val="8"/>
              </w:numPr>
              <w:tabs>
                <w:tab w:val="left" w:pos="180"/>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ISO 6504/1 (Paints and varnishes — determination of hiding power — Part - 1: Kubelka-Munk method for white and light-coloured paints);</w:t>
            </w:r>
          </w:p>
          <w:p w14:paraId="0BC38D36" w14:textId="77777777" w:rsidR="00125A23" w:rsidRPr="002823E9" w:rsidRDefault="00125A23" w:rsidP="003C6D90">
            <w:pPr>
              <w:pStyle w:val="TableParagraph"/>
              <w:numPr>
                <w:ilvl w:val="0"/>
                <w:numId w:val="8"/>
              </w:numPr>
              <w:tabs>
                <w:tab w:val="left" w:pos="164"/>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ISO 6504/3 (Part 3: determination of contrast ratio (opacity) of light-coloured paints at a fixed spreading rate);</w:t>
            </w:r>
          </w:p>
          <w:p w14:paraId="567F9D19" w14:textId="77777777" w:rsidR="00125A23" w:rsidRPr="002823E9" w:rsidRDefault="00125A23" w:rsidP="003C6D90">
            <w:pPr>
              <w:pStyle w:val="TableParagraph"/>
              <w:numPr>
                <w:ilvl w:val="0"/>
                <w:numId w:val="8"/>
              </w:numPr>
              <w:tabs>
                <w:tab w:val="left" w:pos="167"/>
              </w:tabs>
              <w:ind w:left="342" w:hanging="219"/>
              <w:jc w:val="both"/>
              <w:rPr>
                <w:rFonts w:ascii="Aptos" w:eastAsia="Times New Roman" w:hAnsi="Aptos" w:cstheme="minorHAnsi"/>
                <w:color w:val="000000"/>
                <w:sz w:val="20"/>
                <w:szCs w:val="20"/>
                <w:lang w:val="en-GB" w:eastAsia="en-GB"/>
              </w:rPr>
            </w:pPr>
            <w:r w:rsidRPr="002823E9">
              <w:rPr>
                <w:rFonts w:ascii="Aptos" w:eastAsia="Times New Roman" w:hAnsi="Aptos" w:cstheme="minorHAnsi"/>
                <w:color w:val="000000"/>
                <w:sz w:val="20"/>
                <w:szCs w:val="20"/>
                <w:lang w:val="en-GB" w:eastAsia="en-GB"/>
              </w:rPr>
              <w:t>NF T 30 073 for paints specially designed to give a three-dimensional decorative effect or which are characterised by a very thick coat.</w:t>
            </w:r>
          </w:p>
          <w:p w14:paraId="78BA9E9F" w14:textId="77777777" w:rsidR="00125A23" w:rsidRPr="002823E9" w:rsidRDefault="00125A23" w:rsidP="003C6D90">
            <w:pPr>
              <w:pStyle w:val="TableParagraph"/>
              <w:jc w:val="both"/>
              <w:rPr>
                <w:rFonts w:ascii="Aptos" w:eastAsia="Times New Roman" w:hAnsi="Aptos" w:cstheme="minorHAnsi"/>
                <w:color w:val="000000"/>
                <w:sz w:val="20"/>
                <w:szCs w:val="20"/>
                <w:lang w:val="en-GB" w:eastAsia="en-GB"/>
              </w:rPr>
            </w:pPr>
          </w:p>
          <w:p w14:paraId="2A643219" w14:textId="77777777" w:rsidR="00125A23" w:rsidRPr="002823E9" w:rsidRDefault="00125A23" w:rsidP="003C6D90">
            <w:pPr>
              <w:pStyle w:val="Default"/>
              <w:jc w:val="both"/>
              <w:rPr>
                <w:rFonts w:ascii="Aptos" w:hAnsi="Aptos" w:cstheme="minorHAnsi"/>
                <w:sz w:val="20"/>
                <w:szCs w:val="20"/>
              </w:rPr>
            </w:pPr>
            <w:r w:rsidRPr="002823E9">
              <w:rPr>
                <w:rFonts w:ascii="Aptos" w:hAnsi="Aptos" w:cstheme="minorHAnsi"/>
                <w:sz w:val="20"/>
                <w:szCs w:val="20"/>
              </w:rPr>
              <w:t>Products which have been awarded the EU Ecolabel for paints and varnishes, as established in Commission Decision (EU) 2014/312/EU are deemed to comply.</w:t>
            </w:r>
          </w:p>
        </w:tc>
      </w:tr>
      <w:tr w:rsidR="00517C5D" w:rsidRPr="002823E9" w14:paraId="744B16F1" w14:textId="77777777" w:rsidTr="00926041">
        <w:trPr>
          <w:trHeight w:val="511"/>
          <w:jc w:val="center"/>
        </w:trPr>
        <w:tc>
          <w:tcPr>
            <w:tcW w:w="500" w:type="dxa"/>
            <w:vAlign w:val="center"/>
          </w:tcPr>
          <w:p w14:paraId="76C09701" w14:textId="77777777" w:rsidR="00517C5D" w:rsidRPr="002823E9" w:rsidRDefault="00517C5D" w:rsidP="003C6D90">
            <w:pPr>
              <w:numPr>
                <w:ilvl w:val="12"/>
                <w:numId w:val="0"/>
              </w:numPr>
              <w:ind w:left="22" w:hanging="22"/>
              <w:jc w:val="both"/>
              <w:rPr>
                <w:rFonts w:ascii="Aptos" w:hAnsi="Aptos" w:cstheme="minorHAnsi"/>
                <w:b/>
                <w:bCs/>
                <w:sz w:val="20"/>
                <w:szCs w:val="20"/>
              </w:rPr>
            </w:pPr>
          </w:p>
        </w:tc>
        <w:tc>
          <w:tcPr>
            <w:tcW w:w="8866" w:type="dxa"/>
            <w:vAlign w:val="center"/>
          </w:tcPr>
          <w:p w14:paraId="556DE731" w14:textId="060210B2" w:rsidR="00517C5D" w:rsidRPr="002823E9" w:rsidRDefault="00447655"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Weathering resistance (only outdoor paints)</w:t>
            </w:r>
          </w:p>
        </w:tc>
      </w:tr>
      <w:tr w:rsidR="00125A23" w:rsidRPr="002823E9" w14:paraId="0D2C3D7B" w14:textId="77777777" w:rsidTr="00926041">
        <w:trPr>
          <w:trHeight w:val="2175"/>
          <w:jc w:val="center"/>
        </w:trPr>
        <w:tc>
          <w:tcPr>
            <w:tcW w:w="500" w:type="dxa"/>
            <w:shd w:val="clear" w:color="auto" w:fill="D9D9D9" w:themeFill="background1" w:themeFillShade="D9"/>
            <w:vAlign w:val="center"/>
          </w:tcPr>
          <w:p w14:paraId="407A4D16" w14:textId="6FA9C552"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7C940B40" w14:textId="77777777" w:rsidR="00125A23" w:rsidRPr="002823E9" w:rsidRDefault="00125A23" w:rsidP="003C6D90">
            <w:pPr>
              <w:pStyle w:val="Default"/>
              <w:jc w:val="both"/>
              <w:rPr>
                <w:rFonts w:ascii="Aptos" w:hAnsi="Aptos" w:cstheme="minorHAnsi"/>
                <w:sz w:val="20"/>
                <w:szCs w:val="20"/>
              </w:rPr>
            </w:pPr>
            <w:r w:rsidRPr="002823E9">
              <w:rPr>
                <w:rFonts w:ascii="Aptos" w:hAnsi="Aptos" w:cstheme="minorHAnsi"/>
                <w:sz w:val="20"/>
                <w:szCs w:val="20"/>
              </w:rPr>
              <w:t>The tenderer shall provide test results demonstrating performance of the paint according to the requirements listed in Table 8. With the exception of corrosion for metal paints the artificial weathering conditions shall reflect the conditions described in ISO 11507 or (for outdoor wood finishes) QUV accelerated weathering apparatus with cyclic exposure with UV(A) radiation and spraying according to EN 927-6 or their equivalent. For corrosion the relevant atmospheric corrosivity categories in EN ISO 12944-2 and the accompanying procedures specified in EN ISO 12944-6, or equivalent, shall be used. Anti-rust paints for steel substrates shall be tested after 240h salt spray following ISO 9227 or equivalent. Products which have been awarded the EU Ecolabel for paints and varnishes, as established in Commission Decision (EU) 2014/312/EU are deemed to comply with the above criteria.</w:t>
            </w:r>
          </w:p>
        </w:tc>
      </w:tr>
      <w:tr w:rsidR="00517C5D" w:rsidRPr="002823E9" w14:paraId="1A8EDB36" w14:textId="77777777" w:rsidTr="00926041">
        <w:trPr>
          <w:trHeight w:val="511"/>
          <w:jc w:val="center"/>
        </w:trPr>
        <w:tc>
          <w:tcPr>
            <w:tcW w:w="500" w:type="dxa"/>
            <w:vAlign w:val="center"/>
          </w:tcPr>
          <w:p w14:paraId="7FBC1B13" w14:textId="77777777" w:rsidR="00517C5D" w:rsidRPr="002823E9" w:rsidRDefault="00517C5D" w:rsidP="003C6D90">
            <w:pPr>
              <w:numPr>
                <w:ilvl w:val="12"/>
                <w:numId w:val="0"/>
              </w:numPr>
              <w:ind w:left="22" w:hanging="22"/>
              <w:jc w:val="both"/>
              <w:rPr>
                <w:rFonts w:ascii="Aptos" w:hAnsi="Aptos" w:cstheme="minorHAnsi"/>
                <w:b/>
                <w:bCs/>
                <w:sz w:val="20"/>
                <w:szCs w:val="20"/>
              </w:rPr>
            </w:pPr>
          </w:p>
        </w:tc>
        <w:tc>
          <w:tcPr>
            <w:tcW w:w="8866" w:type="dxa"/>
            <w:vAlign w:val="center"/>
          </w:tcPr>
          <w:p w14:paraId="6E67AE19" w14:textId="75FBB04A" w:rsidR="00517C5D" w:rsidRPr="002823E9" w:rsidRDefault="002537C5"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Fungal and algal resistance of the film (only outdoor paints)</w:t>
            </w:r>
          </w:p>
        </w:tc>
      </w:tr>
      <w:tr w:rsidR="00125A23" w:rsidRPr="002823E9" w14:paraId="3DBD5693" w14:textId="77777777" w:rsidTr="00926041">
        <w:trPr>
          <w:trHeight w:val="829"/>
          <w:jc w:val="center"/>
        </w:trPr>
        <w:tc>
          <w:tcPr>
            <w:tcW w:w="500" w:type="dxa"/>
            <w:shd w:val="clear" w:color="auto" w:fill="D9D9D9" w:themeFill="background1" w:themeFillShade="D9"/>
            <w:vAlign w:val="center"/>
          </w:tcPr>
          <w:p w14:paraId="753F478F" w14:textId="5F03BF31"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53A37169" w14:textId="77777777" w:rsidR="00125A23" w:rsidRPr="002823E9" w:rsidRDefault="00125A23" w:rsidP="003C6D90">
            <w:pPr>
              <w:pStyle w:val="Default"/>
              <w:jc w:val="both"/>
              <w:rPr>
                <w:rFonts w:ascii="Aptos" w:hAnsi="Aptos" w:cstheme="minorHAnsi"/>
                <w:sz w:val="20"/>
                <w:szCs w:val="20"/>
              </w:rPr>
            </w:pPr>
            <w:r w:rsidRPr="002823E9">
              <w:rPr>
                <w:rFonts w:ascii="Aptos" w:hAnsi="Aptos" w:cstheme="minorHAnsi"/>
                <w:sz w:val="20"/>
                <w:szCs w:val="20"/>
              </w:rPr>
              <w:t>The tenderer shall provide test results demonstrating compliance according to the test methods EN 15457 and/ or EN 15458, or their equivalent. For coatings containing encapsulated dry-film biocides altered conditioning protocols shall also be accepted. Manufacturers shall provide information about any variation in conditioning along with test results of the EN 15457 and/or 15458 standards. Products which have been awarded the EU Ecolabel for paints and varnishes, as established in Commission Decision (EU) 2014/312/EU are deemed to comply</w:t>
            </w:r>
          </w:p>
        </w:tc>
      </w:tr>
      <w:tr w:rsidR="00517C5D" w:rsidRPr="002823E9" w14:paraId="144D7182" w14:textId="77777777" w:rsidTr="00926041">
        <w:trPr>
          <w:trHeight w:val="511"/>
          <w:jc w:val="center"/>
        </w:trPr>
        <w:tc>
          <w:tcPr>
            <w:tcW w:w="500" w:type="dxa"/>
            <w:vAlign w:val="center"/>
          </w:tcPr>
          <w:p w14:paraId="757C7045" w14:textId="77777777" w:rsidR="00517C5D" w:rsidRPr="002823E9" w:rsidRDefault="00517C5D" w:rsidP="003C6D90">
            <w:pPr>
              <w:numPr>
                <w:ilvl w:val="12"/>
                <w:numId w:val="0"/>
              </w:numPr>
              <w:ind w:left="22" w:hanging="22"/>
              <w:jc w:val="both"/>
              <w:rPr>
                <w:rFonts w:ascii="Aptos" w:hAnsi="Aptos" w:cstheme="minorHAnsi"/>
                <w:b/>
                <w:bCs/>
                <w:sz w:val="20"/>
                <w:szCs w:val="20"/>
              </w:rPr>
            </w:pPr>
          </w:p>
        </w:tc>
        <w:tc>
          <w:tcPr>
            <w:tcW w:w="8866" w:type="dxa"/>
            <w:vAlign w:val="center"/>
          </w:tcPr>
          <w:p w14:paraId="41EBF61C" w14:textId="60F4950B" w:rsidR="00517C5D" w:rsidRPr="002823E9" w:rsidRDefault="00D85CCD" w:rsidP="003C6D90">
            <w:pPr>
              <w:numPr>
                <w:ilvl w:val="12"/>
                <w:numId w:val="0"/>
              </w:numPr>
              <w:jc w:val="both"/>
              <w:rPr>
                <w:rFonts w:ascii="Aptos" w:hAnsi="Aptos" w:cstheme="minorHAnsi"/>
                <w:b/>
                <w:bCs/>
                <w:sz w:val="20"/>
                <w:szCs w:val="20"/>
              </w:rPr>
            </w:pPr>
            <w:r w:rsidRPr="002823E9">
              <w:rPr>
                <w:rFonts w:ascii="Aptos" w:hAnsi="Aptos" w:cstheme="minorHAnsi"/>
                <w:b/>
                <w:bCs/>
                <w:sz w:val="20"/>
                <w:szCs w:val="20"/>
              </w:rPr>
              <w:t>Management of waste and unused paint</w:t>
            </w:r>
          </w:p>
        </w:tc>
      </w:tr>
      <w:tr w:rsidR="00125A23" w:rsidRPr="002823E9" w14:paraId="5DFBA6EF" w14:textId="77777777" w:rsidTr="00926041">
        <w:trPr>
          <w:trHeight w:val="70"/>
          <w:jc w:val="center"/>
        </w:trPr>
        <w:tc>
          <w:tcPr>
            <w:tcW w:w="500" w:type="dxa"/>
            <w:shd w:val="clear" w:color="auto" w:fill="D9D9D9" w:themeFill="background1" w:themeFillShade="D9"/>
            <w:vAlign w:val="center"/>
          </w:tcPr>
          <w:p w14:paraId="23AF1846" w14:textId="2DCAA3ED" w:rsidR="00125A23" w:rsidRPr="002823E9" w:rsidRDefault="00125A23" w:rsidP="003C6D90">
            <w:pPr>
              <w:pStyle w:val="ListParagraph"/>
              <w:numPr>
                <w:ilvl w:val="0"/>
                <w:numId w:val="20"/>
              </w:numPr>
              <w:ind w:left="389"/>
              <w:jc w:val="both"/>
              <w:rPr>
                <w:rFonts w:ascii="Aptos" w:hAnsi="Aptos" w:cstheme="minorHAnsi"/>
                <w:sz w:val="20"/>
                <w:szCs w:val="20"/>
              </w:rPr>
            </w:pPr>
          </w:p>
        </w:tc>
        <w:tc>
          <w:tcPr>
            <w:tcW w:w="8866" w:type="dxa"/>
            <w:vAlign w:val="center"/>
          </w:tcPr>
          <w:p w14:paraId="4E6224F4" w14:textId="77777777" w:rsidR="00125A23" w:rsidRPr="002823E9" w:rsidRDefault="00125A23" w:rsidP="003C6D90">
            <w:pPr>
              <w:pStyle w:val="Default"/>
              <w:jc w:val="both"/>
              <w:rPr>
                <w:rFonts w:ascii="Aptos" w:hAnsi="Aptos" w:cstheme="minorHAnsi"/>
                <w:sz w:val="20"/>
                <w:szCs w:val="20"/>
              </w:rPr>
            </w:pPr>
            <w:r w:rsidRPr="002823E9">
              <w:rPr>
                <w:rFonts w:ascii="Aptos" w:hAnsi="Aptos" w:cstheme="minorHAnsi"/>
                <w:sz w:val="20"/>
                <w:szCs w:val="20"/>
              </w:rPr>
              <w:t>The tenderer shall provide a documented waste management plan which shall include method statements for safe paint stripping, equipment cleaning and waste and unused paint handling and disposal, as well as the measures applied to minimise waste and unused paint</w:t>
            </w:r>
          </w:p>
        </w:tc>
      </w:tr>
    </w:tbl>
    <w:p w14:paraId="59889D90" w14:textId="174BCB65" w:rsidR="00926041" w:rsidRDefault="00926041" w:rsidP="0070427C"/>
    <w:p w14:paraId="3A543476" w14:textId="77777777" w:rsidR="008C32A2" w:rsidRDefault="008C32A2">
      <w:r>
        <w:br w:type="page"/>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9116"/>
      </w:tblGrid>
      <w:tr w:rsidR="002E6C26" w:rsidRPr="002823E9" w14:paraId="55401933" w14:textId="77777777" w:rsidTr="00233A3D">
        <w:trPr>
          <w:trHeight w:val="567"/>
          <w:jc w:val="center"/>
        </w:trPr>
        <w:tc>
          <w:tcPr>
            <w:tcW w:w="455"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3A73D8AF" w14:textId="1DCC1BD3" w:rsidR="002E6C26" w:rsidRPr="002823E9" w:rsidRDefault="002E6C26" w:rsidP="00233A3D">
            <w:pPr>
              <w:pStyle w:val="ListParagraph"/>
              <w:numPr>
                <w:ilvl w:val="0"/>
                <w:numId w:val="14"/>
              </w:numPr>
              <w:ind w:left="549"/>
              <w:jc w:val="both"/>
              <w:rPr>
                <w:rFonts w:ascii="Aptos" w:hAnsi="Aptos" w:cstheme="minorHAnsi"/>
                <w:b/>
                <w:bCs/>
                <w:sz w:val="20"/>
                <w:szCs w:val="20"/>
              </w:rPr>
            </w:pPr>
          </w:p>
        </w:tc>
        <w:tc>
          <w:tcPr>
            <w:tcW w:w="9116"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94C7563" w14:textId="22582234" w:rsidR="002E6C26" w:rsidRPr="002823E9" w:rsidRDefault="002E6C26" w:rsidP="00233A3D">
            <w:pPr>
              <w:rPr>
                <w:rFonts w:ascii="Aptos" w:hAnsi="Aptos" w:cstheme="minorHAnsi"/>
                <w:b/>
                <w:bCs/>
                <w:sz w:val="20"/>
                <w:szCs w:val="20"/>
              </w:rPr>
            </w:pPr>
            <w:r>
              <w:rPr>
                <w:rFonts w:ascii="Aptos" w:hAnsi="Aptos" w:cstheme="minorHAnsi"/>
                <w:b/>
                <w:bCs/>
                <w:sz w:val="20"/>
                <w:szCs w:val="20"/>
              </w:rPr>
              <w:t>Toilets and Urinals</w:t>
            </w:r>
            <w:r w:rsidRPr="002823E9">
              <w:rPr>
                <w:rFonts w:ascii="Aptos" w:hAnsi="Aptos" w:cstheme="minorHAnsi"/>
                <w:b/>
                <w:bCs/>
                <w:sz w:val="20"/>
                <w:szCs w:val="20"/>
              </w:rPr>
              <w:t>: Technical Specifications, Clause 1</w:t>
            </w:r>
            <w:r w:rsidR="008C32A2">
              <w:rPr>
                <w:rFonts w:ascii="Aptos" w:hAnsi="Aptos" w:cstheme="minorHAnsi"/>
                <w:b/>
                <w:bCs/>
                <w:sz w:val="20"/>
                <w:szCs w:val="20"/>
              </w:rPr>
              <w:t>7.1.1</w:t>
            </w:r>
          </w:p>
        </w:tc>
      </w:tr>
      <w:tr w:rsidR="002E6C26" w:rsidRPr="002823E9" w14:paraId="373CBBB6" w14:textId="77777777" w:rsidTr="00233A3D">
        <w:trPr>
          <w:trHeight w:val="511"/>
          <w:jc w:val="center"/>
        </w:trPr>
        <w:tc>
          <w:tcPr>
            <w:tcW w:w="455" w:type="dxa"/>
            <w:vAlign w:val="center"/>
          </w:tcPr>
          <w:p w14:paraId="363607A5"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51D01830"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Flushing Toilet Equipment: Full flush volume</w:t>
            </w:r>
          </w:p>
        </w:tc>
      </w:tr>
      <w:tr w:rsidR="002E6C26" w:rsidRPr="002823E9" w14:paraId="5D55DF82" w14:textId="77777777" w:rsidTr="00233A3D">
        <w:trPr>
          <w:trHeight w:val="1179"/>
          <w:jc w:val="center"/>
        </w:trPr>
        <w:tc>
          <w:tcPr>
            <w:tcW w:w="455" w:type="dxa"/>
            <w:shd w:val="clear" w:color="auto" w:fill="D9D9D9" w:themeFill="background1" w:themeFillShade="D9"/>
            <w:vAlign w:val="center"/>
          </w:tcPr>
          <w:p w14:paraId="2FF9F987" w14:textId="77777777" w:rsidR="002E6C26" w:rsidRPr="002823E9" w:rsidRDefault="002E6C26" w:rsidP="00233A3D">
            <w:pPr>
              <w:pStyle w:val="ListParagraph"/>
              <w:numPr>
                <w:ilvl w:val="0"/>
                <w:numId w:val="21"/>
              </w:numPr>
              <w:ind w:left="389"/>
              <w:jc w:val="both"/>
              <w:rPr>
                <w:rFonts w:ascii="Aptos" w:hAnsi="Aptos" w:cstheme="minorHAnsi"/>
                <w:sz w:val="20"/>
                <w:szCs w:val="20"/>
              </w:rPr>
            </w:pPr>
          </w:p>
        </w:tc>
        <w:tc>
          <w:tcPr>
            <w:tcW w:w="9116" w:type="dxa"/>
            <w:vAlign w:val="center"/>
          </w:tcPr>
          <w:p w14:paraId="23E683AA"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Otherwise, test results according to the test procedure contained in standard EN 997 or equivalent standards shall be submitted. The testing shall be performed by laboratories that meet the general requirements of standard EN ISO 17025 or equivalent.</w:t>
            </w:r>
          </w:p>
        </w:tc>
      </w:tr>
      <w:tr w:rsidR="002E6C26" w:rsidRPr="002823E9" w14:paraId="681EFA94" w14:textId="77777777" w:rsidTr="00233A3D">
        <w:trPr>
          <w:trHeight w:val="511"/>
          <w:jc w:val="center"/>
        </w:trPr>
        <w:tc>
          <w:tcPr>
            <w:tcW w:w="455" w:type="dxa"/>
            <w:vAlign w:val="center"/>
          </w:tcPr>
          <w:p w14:paraId="426C5465"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50EE7C2F"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Flushing Toilet Equipment: Flushing system requirements</w:t>
            </w:r>
          </w:p>
        </w:tc>
      </w:tr>
      <w:tr w:rsidR="002E6C26" w:rsidRPr="002823E9" w14:paraId="3D512A54" w14:textId="77777777" w:rsidTr="00233A3D">
        <w:trPr>
          <w:trHeight w:val="563"/>
          <w:jc w:val="center"/>
        </w:trPr>
        <w:tc>
          <w:tcPr>
            <w:tcW w:w="455" w:type="dxa"/>
            <w:shd w:val="clear" w:color="auto" w:fill="D9D9D9" w:themeFill="background1" w:themeFillShade="D9"/>
            <w:vAlign w:val="center"/>
          </w:tcPr>
          <w:p w14:paraId="077FE200" w14:textId="77777777" w:rsidR="002E6C26" w:rsidRPr="002823E9" w:rsidRDefault="002E6C26" w:rsidP="00233A3D">
            <w:pPr>
              <w:pStyle w:val="ListParagraph"/>
              <w:numPr>
                <w:ilvl w:val="0"/>
                <w:numId w:val="21"/>
              </w:numPr>
              <w:ind w:left="389"/>
              <w:jc w:val="both"/>
              <w:rPr>
                <w:rFonts w:ascii="Aptos" w:hAnsi="Aptos" w:cstheme="minorHAnsi"/>
                <w:sz w:val="20"/>
                <w:szCs w:val="20"/>
              </w:rPr>
            </w:pPr>
          </w:p>
        </w:tc>
        <w:tc>
          <w:tcPr>
            <w:tcW w:w="9116" w:type="dxa"/>
            <w:vAlign w:val="center"/>
          </w:tcPr>
          <w:p w14:paraId="500DD27F"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Otherwise, a test report showing that the flushing system of the product complies with the requirements of the respective EN standards mentioned above or equivalent standards will be accepted.</w:t>
            </w:r>
          </w:p>
        </w:tc>
      </w:tr>
      <w:tr w:rsidR="002E6C26" w:rsidRPr="002823E9" w14:paraId="219D8319" w14:textId="77777777" w:rsidTr="00233A3D">
        <w:trPr>
          <w:trHeight w:val="511"/>
          <w:jc w:val="center"/>
        </w:trPr>
        <w:tc>
          <w:tcPr>
            <w:tcW w:w="455" w:type="dxa"/>
            <w:vAlign w:val="center"/>
          </w:tcPr>
          <w:p w14:paraId="6DD1AA56"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1F808C92"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Flushing Toilet Equipment: Flushing Performance</w:t>
            </w:r>
          </w:p>
        </w:tc>
      </w:tr>
      <w:tr w:rsidR="002E6C26" w:rsidRPr="002823E9" w14:paraId="1CE14078" w14:textId="77777777" w:rsidTr="00233A3D">
        <w:trPr>
          <w:trHeight w:val="416"/>
          <w:jc w:val="center"/>
        </w:trPr>
        <w:tc>
          <w:tcPr>
            <w:tcW w:w="455" w:type="dxa"/>
            <w:shd w:val="clear" w:color="auto" w:fill="D9D9D9" w:themeFill="background1" w:themeFillShade="D9"/>
            <w:vAlign w:val="center"/>
          </w:tcPr>
          <w:p w14:paraId="32BB298E" w14:textId="77777777" w:rsidR="002E6C26" w:rsidRPr="002823E9" w:rsidRDefault="002E6C26" w:rsidP="00233A3D">
            <w:pPr>
              <w:pStyle w:val="ListParagraph"/>
              <w:numPr>
                <w:ilvl w:val="0"/>
                <w:numId w:val="21"/>
              </w:numPr>
              <w:ind w:left="389"/>
              <w:jc w:val="both"/>
              <w:rPr>
                <w:rFonts w:ascii="Aptos" w:hAnsi="Aptos" w:cstheme="minorHAnsi"/>
                <w:sz w:val="20"/>
                <w:szCs w:val="20"/>
              </w:rPr>
            </w:pPr>
          </w:p>
        </w:tc>
        <w:tc>
          <w:tcPr>
            <w:tcW w:w="9116" w:type="dxa"/>
            <w:vAlign w:val="center"/>
          </w:tcPr>
          <w:p w14:paraId="5135ED66"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Otherwise, a test report showing that the flush performance of the product complies with the requirements of Standard EN 997 or equivalent standard will be accepted.</w:t>
            </w:r>
          </w:p>
        </w:tc>
      </w:tr>
      <w:tr w:rsidR="002E6C26" w:rsidRPr="002823E9" w14:paraId="404C6B71" w14:textId="77777777" w:rsidTr="00233A3D">
        <w:trPr>
          <w:trHeight w:val="511"/>
          <w:jc w:val="center"/>
        </w:trPr>
        <w:tc>
          <w:tcPr>
            <w:tcW w:w="455" w:type="dxa"/>
            <w:vAlign w:val="center"/>
          </w:tcPr>
          <w:p w14:paraId="0872E9FA"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3B86E001"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Flushing Toilet Equipment: Installation instructions / user information</w:t>
            </w:r>
          </w:p>
        </w:tc>
      </w:tr>
      <w:tr w:rsidR="002E6C26" w:rsidRPr="002823E9" w14:paraId="6C66BB07" w14:textId="77777777" w:rsidTr="00233A3D">
        <w:trPr>
          <w:trHeight w:val="392"/>
          <w:jc w:val="center"/>
        </w:trPr>
        <w:tc>
          <w:tcPr>
            <w:tcW w:w="455" w:type="dxa"/>
            <w:shd w:val="clear" w:color="auto" w:fill="D9D9D9" w:themeFill="background1" w:themeFillShade="D9"/>
            <w:vAlign w:val="center"/>
          </w:tcPr>
          <w:p w14:paraId="4EC2A92A" w14:textId="77777777" w:rsidR="002E6C26" w:rsidRPr="002823E9" w:rsidRDefault="002E6C26" w:rsidP="00233A3D">
            <w:pPr>
              <w:pStyle w:val="ListParagraph"/>
              <w:numPr>
                <w:ilvl w:val="0"/>
                <w:numId w:val="21"/>
              </w:numPr>
              <w:ind w:left="389"/>
              <w:jc w:val="both"/>
              <w:rPr>
                <w:rFonts w:ascii="Aptos" w:hAnsi="Aptos" w:cstheme="minorHAnsi"/>
                <w:sz w:val="20"/>
                <w:szCs w:val="20"/>
              </w:rPr>
            </w:pPr>
          </w:p>
        </w:tc>
        <w:tc>
          <w:tcPr>
            <w:tcW w:w="9116" w:type="dxa"/>
            <w:vAlign w:val="center"/>
          </w:tcPr>
          <w:p w14:paraId="1CE0854E"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Products holding a relevant Type 1 Eco-label fulfilling the listed requirements will be deemed to comply. Other appropriate means of proof will also be accepted, such as written evidence from the manufacturer that the above clause will be met. </w:t>
            </w:r>
          </w:p>
        </w:tc>
      </w:tr>
    </w:tbl>
    <w:p w14:paraId="1004B1A8" w14:textId="77777777" w:rsidR="008C32A2" w:rsidRDefault="008C32A2"/>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9116"/>
      </w:tblGrid>
      <w:tr w:rsidR="002E6C26" w:rsidRPr="002823E9" w14:paraId="444B884F" w14:textId="77777777" w:rsidTr="00233A3D">
        <w:trPr>
          <w:trHeight w:val="567"/>
          <w:jc w:val="center"/>
        </w:trPr>
        <w:tc>
          <w:tcPr>
            <w:tcW w:w="455"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1F94689B" w14:textId="77777777" w:rsidR="002E6C26" w:rsidRPr="002823E9" w:rsidRDefault="002E6C26" w:rsidP="00233A3D">
            <w:pPr>
              <w:pStyle w:val="ListParagraph"/>
              <w:numPr>
                <w:ilvl w:val="0"/>
                <w:numId w:val="14"/>
              </w:numPr>
              <w:ind w:left="549"/>
              <w:jc w:val="both"/>
              <w:rPr>
                <w:rFonts w:ascii="Aptos" w:hAnsi="Aptos" w:cstheme="minorHAnsi"/>
                <w:b/>
                <w:bCs/>
                <w:sz w:val="20"/>
                <w:szCs w:val="20"/>
              </w:rPr>
            </w:pPr>
            <w:r>
              <w:rPr>
                <w:lang w:val="en-US"/>
              </w:rPr>
              <w:br w:type="page"/>
            </w:r>
          </w:p>
        </w:tc>
        <w:tc>
          <w:tcPr>
            <w:tcW w:w="9116"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1B7DCDC4" w14:textId="04BB3AD1" w:rsidR="002E6C26" w:rsidRPr="002823E9" w:rsidRDefault="002E6C26" w:rsidP="00233A3D">
            <w:pPr>
              <w:rPr>
                <w:rFonts w:ascii="Aptos" w:hAnsi="Aptos" w:cstheme="minorHAnsi"/>
                <w:b/>
                <w:bCs/>
                <w:sz w:val="20"/>
                <w:szCs w:val="20"/>
              </w:rPr>
            </w:pPr>
            <w:r w:rsidRPr="002823E9">
              <w:rPr>
                <w:rFonts w:ascii="Aptos" w:hAnsi="Aptos" w:cstheme="minorHAnsi"/>
                <w:b/>
                <w:bCs/>
                <w:sz w:val="20"/>
                <w:szCs w:val="20"/>
              </w:rPr>
              <w:t xml:space="preserve">Sanitary </w:t>
            </w:r>
            <w:r>
              <w:rPr>
                <w:rFonts w:ascii="Aptos" w:hAnsi="Aptos" w:cstheme="minorHAnsi"/>
                <w:b/>
                <w:bCs/>
                <w:sz w:val="20"/>
                <w:szCs w:val="20"/>
              </w:rPr>
              <w:t>Tapw</w:t>
            </w:r>
            <w:r w:rsidRPr="002823E9">
              <w:rPr>
                <w:rFonts w:ascii="Aptos" w:hAnsi="Aptos" w:cstheme="minorHAnsi"/>
                <w:b/>
                <w:bCs/>
                <w:sz w:val="20"/>
                <w:szCs w:val="20"/>
              </w:rPr>
              <w:t>are: Technical Specifications, Clause 1</w:t>
            </w:r>
            <w:r w:rsidR="008C32A2">
              <w:rPr>
                <w:rFonts w:ascii="Aptos" w:hAnsi="Aptos" w:cstheme="minorHAnsi"/>
                <w:b/>
                <w:bCs/>
                <w:sz w:val="20"/>
                <w:szCs w:val="20"/>
              </w:rPr>
              <w:t>7.1.2</w:t>
            </w:r>
          </w:p>
        </w:tc>
      </w:tr>
      <w:tr w:rsidR="002E6C26" w:rsidRPr="002823E9" w14:paraId="64C6CCDF" w14:textId="77777777" w:rsidTr="00233A3D">
        <w:trPr>
          <w:trHeight w:val="511"/>
          <w:jc w:val="center"/>
        </w:trPr>
        <w:tc>
          <w:tcPr>
            <w:tcW w:w="455" w:type="dxa"/>
            <w:vAlign w:val="center"/>
          </w:tcPr>
          <w:p w14:paraId="20B909B4"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75B61169"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Calibri"/>
                <w:b/>
                <w:bCs/>
                <w:sz w:val="20"/>
                <w:szCs w:val="20"/>
              </w:rPr>
              <w:t>Maximum available water flow rate</w:t>
            </w:r>
          </w:p>
        </w:tc>
      </w:tr>
      <w:tr w:rsidR="002E6C26" w:rsidRPr="002823E9" w14:paraId="3C58F483" w14:textId="77777777" w:rsidTr="00233A3D">
        <w:trPr>
          <w:trHeight w:val="699"/>
          <w:jc w:val="center"/>
        </w:trPr>
        <w:tc>
          <w:tcPr>
            <w:tcW w:w="455" w:type="dxa"/>
            <w:shd w:val="clear" w:color="auto" w:fill="D9D9D9" w:themeFill="background1" w:themeFillShade="D9"/>
            <w:vAlign w:val="center"/>
          </w:tcPr>
          <w:p w14:paraId="39AE7E39"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762D2A2B"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Otherwise, results of sanitary tapware testing according to the test procedure contained in the relevant EN standard (see the list in Table 2 below) or an equivalent standard shall be submitted together with the tender to the contracting authority. The testing shall be conducted at pressure of 1.5, 3.0 and 4.5 bar (± 0.2 bar) for products declared by the manufacturer as being suitable for high pressure installations (typically 1.0 to 5.0 bar) or at pressure of 0.2, 0.3 and 0.5 bar (± 0.02 bar) for products declared by the manufacture as being suitable for low pressure installations (typically 0.1 to 0.5 bar). The mean value of the three measurements shall not exceed the maximum water flow rate value indicated in Table 1. The testing shall be performed by laboratories that meet the general requirements of EN ISO 17025 or equivalent.</w:t>
            </w:r>
          </w:p>
          <w:p w14:paraId="3DB7AF2E" w14:textId="77777777" w:rsidR="002E6C26" w:rsidRPr="002823E9" w:rsidRDefault="002E6C26" w:rsidP="00233A3D">
            <w:pPr>
              <w:jc w:val="both"/>
              <w:rPr>
                <w:rFonts w:ascii="Aptos" w:hAnsi="Aptos" w:cstheme="minorHAnsi"/>
                <w:sz w:val="20"/>
                <w:szCs w:val="20"/>
              </w:rPr>
            </w:pPr>
          </w:p>
          <w:p w14:paraId="4AC83F6B"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A technical dossier from the manufacturer or other appropriate means of proof demonstrating that these requirements have been met will also be accepted.</w:t>
            </w:r>
          </w:p>
          <w:p w14:paraId="7F35BF30" w14:textId="77777777" w:rsidR="002E6C26" w:rsidRPr="002823E9" w:rsidRDefault="002E6C26" w:rsidP="00233A3D">
            <w:pPr>
              <w:jc w:val="both"/>
              <w:rPr>
                <w:rFonts w:ascii="Aptos" w:hAnsi="Aptos" w:cstheme="minorHAnsi"/>
                <w:sz w:val="20"/>
                <w:szCs w:val="20"/>
              </w:rPr>
            </w:pPr>
          </w:p>
          <w:p w14:paraId="4BF4940A"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Table 2 EN standards for sanitary tapware;</w:t>
            </w:r>
          </w:p>
          <w:tbl>
            <w:tblPr>
              <w:tblW w:w="9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6"/>
              <w:gridCol w:w="7198"/>
            </w:tblGrid>
            <w:tr w:rsidR="002E6C26" w:rsidRPr="002823E9" w14:paraId="6D242B12" w14:textId="77777777" w:rsidTr="00233A3D">
              <w:trPr>
                <w:trHeight w:val="101"/>
              </w:trPr>
              <w:tc>
                <w:tcPr>
                  <w:tcW w:w="1806" w:type="dxa"/>
                  <w:tcBorders>
                    <w:top w:val="nil"/>
                    <w:left w:val="nil"/>
                    <w:bottom w:val="nil"/>
                    <w:right w:val="nil"/>
                  </w:tcBorders>
                  <w:vAlign w:val="center"/>
                  <w:hideMark/>
                </w:tcPr>
                <w:p w14:paraId="00E02A5D" w14:textId="77777777" w:rsidR="002E6C26" w:rsidRPr="002823E9" w:rsidRDefault="002E6C26" w:rsidP="00233A3D">
                  <w:pPr>
                    <w:jc w:val="both"/>
                    <w:rPr>
                      <w:rFonts w:ascii="Aptos" w:hAnsi="Aptos" w:cstheme="minorHAnsi"/>
                      <w:sz w:val="20"/>
                      <w:szCs w:val="20"/>
                    </w:rPr>
                  </w:pPr>
                  <w:r w:rsidRPr="002823E9">
                    <w:rPr>
                      <w:rFonts w:ascii="Aptos" w:hAnsi="Aptos" w:cstheme="minorHAnsi"/>
                      <w:b/>
                      <w:bCs/>
                      <w:sz w:val="20"/>
                      <w:szCs w:val="20"/>
                    </w:rPr>
                    <w:t xml:space="preserve">Number </w:t>
                  </w:r>
                </w:p>
              </w:tc>
              <w:tc>
                <w:tcPr>
                  <w:tcW w:w="7198" w:type="dxa"/>
                  <w:tcBorders>
                    <w:top w:val="nil"/>
                    <w:left w:val="nil"/>
                    <w:bottom w:val="nil"/>
                    <w:right w:val="nil"/>
                  </w:tcBorders>
                  <w:vAlign w:val="center"/>
                  <w:hideMark/>
                </w:tcPr>
                <w:p w14:paraId="32C5E663" w14:textId="77777777" w:rsidR="002E6C26" w:rsidRPr="002823E9" w:rsidRDefault="002E6C26" w:rsidP="00233A3D">
                  <w:pPr>
                    <w:jc w:val="both"/>
                    <w:rPr>
                      <w:rFonts w:ascii="Aptos" w:hAnsi="Aptos" w:cstheme="minorHAnsi"/>
                      <w:sz w:val="20"/>
                      <w:szCs w:val="20"/>
                    </w:rPr>
                  </w:pPr>
                  <w:r w:rsidRPr="002823E9">
                    <w:rPr>
                      <w:rFonts w:ascii="Aptos" w:hAnsi="Aptos" w:cstheme="minorHAnsi"/>
                      <w:b/>
                      <w:bCs/>
                      <w:sz w:val="20"/>
                      <w:szCs w:val="20"/>
                    </w:rPr>
                    <w:t>Title</w:t>
                  </w:r>
                </w:p>
              </w:tc>
            </w:tr>
            <w:tr w:rsidR="002E6C26" w:rsidRPr="002823E9" w14:paraId="47A8FC15" w14:textId="77777777" w:rsidTr="00233A3D">
              <w:trPr>
                <w:trHeight w:val="501"/>
              </w:trPr>
              <w:tc>
                <w:tcPr>
                  <w:tcW w:w="1806" w:type="dxa"/>
                  <w:tcBorders>
                    <w:top w:val="nil"/>
                    <w:left w:val="nil"/>
                    <w:bottom w:val="nil"/>
                    <w:right w:val="nil"/>
                  </w:tcBorders>
                  <w:vAlign w:val="center"/>
                  <w:hideMark/>
                </w:tcPr>
                <w:p w14:paraId="1F954558"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200 </w:t>
                  </w:r>
                </w:p>
              </w:tc>
              <w:tc>
                <w:tcPr>
                  <w:tcW w:w="7198" w:type="dxa"/>
                  <w:tcBorders>
                    <w:top w:val="nil"/>
                    <w:left w:val="nil"/>
                    <w:bottom w:val="nil"/>
                    <w:right w:val="nil"/>
                  </w:tcBorders>
                  <w:vAlign w:val="center"/>
                  <w:hideMark/>
                </w:tcPr>
                <w:p w14:paraId="3C91FD23"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Single taps and combination of taps for water supply systems of type 1 and type 2 - General technical specification</w:t>
                  </w:r>
                </w:p>
              </w:tc>
            </w:tr>
            <w:tr w:rsidR="002E6C26" w:rsidRPr="002823E9" w14:paraId="44F85492" w14:textId="77777777" w:rsidTr="00233A3D">
              <w:trPr>
                <w:trHeight w:val="198"/>
              </w:trPr>
              <w:tc>
                <w:tcPr>
                  <w:tcW w:w="1806" w:type="dxa"/>
                  <w:tcBorders>
                    <w:top w:val="nil"/>
                    <w:left w:val="nil"/>
                    <w:bottom w:val="nil"/>
                    <w:right w:val="nil"/>
                  </w:tcBorders>
                  <w:vAlign w:val="center"/>
                  <w:hideMark/>
                </w:tcPr>
                <w:p w14:paraId="38DB9FB3"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816 </w:t>
                  </w:r>
                </w:p>
              </w:tc>
              <w:tc>
                <w:tcPr>
                  <w:tcW w:w="7198" w:type="dxa"/>
                  <w:tcBorders>
                    <w:top w:val="nil"/>
                    <w:left w:val="nil"/>
                    <w:bottom w:val="nil"/>
                    <w:right w:val="nil"/>
                  </w:tcBorders>
                  <w:vAlign w:val="center"/>
                  <w:hideMark/>
                </w:tcPr>
                <w:p w14:paraId="5C8A6959"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Automatic shut-off valves (PN10)</w:t>
                  </w:r>
                </w:p>
              </w:tc>
            </w:tr>
            <w:tr w:rsidR="002E6C26" w:rsidRPr="002823E9" w14:paraId="5A72C3D6" w14:textId="77777777" w:rsidTr="00233A3D">
              <w:trPr>
                <w:trHeight w:val="296"/>
              </w:trPr>
              <w:tc>
                <w:tcPr>
                  <w:tcW w:w="1806" w:type="dxa"/>
                  <w:tcBorders>
                    <w:top w:val="nil"/>
                    <w:left w:val="nil"/>
                    <w:bottom w:val="nil"/>
                    <w:right w:val="nil"/>
                  </w:tcBorders>
                  <w:vAlign w:val="center"/>
                  <w:hideMark/>
                </w:tcPr>
                <w:p w14:paraId="05D14BB2"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817 </w:t>
                  </w:r>
                </w:p>
              </w:tc>
              <w:tc>
                <w:tcPr>
                  <w:tcW w:w="7198" w:type="dxa"/>
                  <w:tcBorders>
                    <w:top w:val="nil"/>
                    <w:left w:val="nil"/>
                    <w:bottom w:val="nil"/>
                    <w:right w:val="nil"/>
                  </w:tcBorders>
                  <w:vAlign w:val="center"/>
                  <w:hideMark/>
                </w:tcPr>
                <w:p w14:paraId="4951994C"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Mechanical mixing valves (PN10) - General technical specifications</w:t>
                  </w:r>
                </w:p>
              </w:tc>
            </w:tr>
            <w:tr w:rsidR="002E6C26" w:rsidRPr="002823E9" w14:paraId="247D1875" w14:textId="77777777" w:rsidTr="00233A3D">
              <w:trPr>
                <w:trHeight w:val="204"/>
              </w:trPr>
              <w:tc>
                <w:tcPr>
                  <w:tcW w:w="1806" w:type="dxa"/>
                  <w:tcBorders>
                    <w:top w:val="nil"/>
                    <w:left w:val="nil"/>
                    <w:bottom w:val="nil"/>
                    <w:right w:val="nil"/>
                  </w:tcBorders>
                  <w:vAlign w:val="center"/>
                  <w:hideMark/>
                </w:tcPr>
                <w:p w14:paraId="7FCFD0AA"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1111 </w:t>
                  </w:r>
                </w:p>
              </w:tc>
              <w:tc>
                <w:tcPr>
                  <w:tcW w:w="7198" w:type="dxa"/>
                  <w:tcBorders>
                    <w:top w:val="nil"/>
                    <w:left w:val="nil"/>
                    <w:bottom w:val="nil"/>
                    <w:right w:val="nil"/>
                  </w:tcBorders>
                  <w:vAlign w:val="center"/>
                  <w:hideMark/>
                </w:tcPr>
                <w:p w14:paraId="6285077C"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Automatic shut-off valves (PN10)</w:t>
                  </w:r>
                </w:p>
              </w:tc>
            </w:tr>
            <w:tr w:rsidR="002E6C26" w:rsidRPr="002823E9" w14:paraId="0B9047D7" w14:textId="77777777" w:rsidTr="00233A3D">
              <w:trPr>
                <w:trHeight w:val="501"/>
              </w:trPr>
              <w:tc>
                <w:tcPr>
                  <w:tcW w:w="1806" w:type="dxa"/>
                  <w:tcBorders>
                    <w:top w:val="nil"/>
                    <w:left w:val="nil"/>
                    <w:bottom w:val="nil"/>
                    <w:right w:val="nil"/>
                  </w:tcBorders>
                  <w:vAlign w:val="center"/>
                  <w:hideMark/>
                </w:tcPr>
                <w:p w14:paraId="6E20165F"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1112 </w:t>
                  </w:r>
                </w:p>
              </w:tc>
              <w:tc>
                <w:tcPr>
                  <w:tcW w:w="7198" w:type="dxa"/>
                  <w:tcBorders>
                    <w:top w:val="nil"/>
                    <w:left w:val="nil"/>
                    <w:bottom w:val="nil"/>
                    <w:right w:val="nil"/>
                  </w:tcBorders>
                  <w:vAlign w:val="center"/>
                  <w:hideMark/>
                </w:tcPr>
                <w:p w14:paraId="60071A7E"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Shower outlets for sanitary tap-ware for water supply systems type 1 and type 2 - General technical specification</w:t>
                  </w:r>
                </w:p>
              </w:tc>
            </w:tr>
            <w:tr w:rsidR="002E6C26" w:rsidRPr="002823E9" w14:paraId="2A5D6EA3" w14:textId="77777777" w:rsidTr="00233A3D">
              <w:trPr>
                <w:trHeight w:val="398"/>
              </w:trPr>
              <w:tc>
                <w:tcPr>
                  <w:tcW w:w="1806" w:type="dxa"/>
                  <w:tcBorders>
                    <w:top w:val="nil"/>
                    <w:left w:val="nil"/>
                    <w:bottom w:val="nil"/>
                    <w:right w:val="nil"/>
                  </w:tcBorders>
                  <w:vAlign w:val="center"/>
                  <w:hideMark/>
                </w:tcPr>
                <w:p w14:paraId="3920C472"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1286 </w:t>
                  </w:r>
                </w:p>
              </w:tc>
              <w:tc>
                <w:tcPr>
                  <w:tcW w:w="7198" w:type="dxa"/>
                  <w:tcBorders>
                    <w:top w:val="nil"/>
                    <w:left w:val="nil"/>
                    <w:bottom w:val="nil"/>
                    <w:right w:val="nil"/>
                  </w:tcBorders>
                  <w:vAlign w:val="center"/>
                  <w:hideMark/>
                </w:tcPr>
                <w:p w14:paraId="391D0BE0"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Low pressure mechanical mixing valves. General technical specification</w:t>
                  </w:r>
                </w:p>
              </w:tc>
            </w:tr>
            <w:tr w:rsidR="002E6C26" w:rsidRPr="002823E9" w14:paraId="06E6C2A4" w14:textId="77777777" w:rsidTr="00233A3D">
              <w:trPr>
                <w:trHeight w:val="398"/>
              </w:trPr>
              <w:tc>
                <w:tcPr>
                  <w:tcW w:w="1806" w:type="dxa"/>
                  <w:tcBorders>
                    <w:top w:val="nil"/>
                    <w:left w:val="nil"/>
                    <w:bottom w:val="nil"/>
                    <w:right w:val="nil"/>
                  </w:tcBorders>
                  <w:vAlign w:val="center"/>
                  <w:hideMark/>
                </w:tcPr>
                <w:p w14:paraId="5D6A2A05"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lastRenderedPageBreak/>
                    <w:t xml:space="preserve">EN 1287 </w:t>
                  </w:r>
                </w:p>
              </w:tc>
              <w:tc>
                <w:tcPr>
                  <w:tcW w:w="7198" w:type="dxa"/>
                  <w:tcBorders>
                    <w:top w:val="nil"/>
                    <w:left w:val="nil"/>
                    <w:bottom w:val="nil"/>
                    <w:right w:val="nil"/>
                  </w:tcBorders>
                  <w:vAlign w:val="center"/>
                  <w:hideMark/>
                </w:tcPr>
                <w:p w14:paraId="4CDAF49B"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Low pressure thermostatic mixing valves. General technical specification</w:t>
                  </w:r>
                </w:p>
              </w:tc>
            </w:tr>
            <w:tr w:rsidR="002E6C26" w:rsidRPr="002823E9" w14:paraId="159A60BC" w14:textId="77777777" w:rsidTr="00233A3D">
              <w:trPr>
                <w:trHeight w:val="300"/>
              </w:trPr>
              <w:tc>
                <w:tcPr>
                  <w:tcW w:w="1806" w:type="dxa"/>
                  <w:tcBorders>
                    <w:top w:val="nil"/>
                    <w:left w:val="nil"/>
                    <w:bottom w:val="nil"/>
                    <w:right w:val="nil"/>
                  </w:tcBorders>
                  <w:vAlign w:val="center"/>
                  <w:hideMark/>
                </w:tcPr>
                <w:p w14:paraId="5DC5C95F"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15091 </w:t>
                  </w:r>
                </w:p>
              </w:tc>
              <w:tc>
                <w:tcPr>
                  <w:tcW w:w="7198" w:type="dxa"/>
                  <w:tcBorders>
                    <w:top w:val="nil"/>
                    <w:left w:val="nil"/>
                    <w:bottom w:val="nil"/>
                    <w:right w:val="nil"/>
                  </w:tcBorders>
                  <w:vAlign w:val="center"/>
                  <w:hideMark/>
                </w:tcPr>
                <w:p w14:paraId="07CB1968"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Electronic opening and closing sanitary tap-ware.</w:t>
                  </w:r>
                </w:p>
              </w:tc>
            </w:tr>
            <w:tr w:rsidR="002E6C26" w:rsidRPr="002823E9" w14:paraId="1110F995" w14:textId="77777777" w:rsidTr="00233A3D">
              <w:trPr>
                <w:trHeight w:val="398"/>
              </w:trPr>
              <w:tc>
                <w:tcPr>
                  <w:tcW w:w="1806" w:type="dxa"/>
                  <w:tcBorders>
                    <w:top w:val="nil"/>
                    <w:left w:val="nil"/>
                    <w:bottom w:val="nil"/>
                    <w:right w:val="nil"/>
                  </w:tcBorders>
                  <w:vAlign w:val="center"/>
                  <w:hideMark/>
                </w:tcPr>
                <w:p w14:paraId="5E7DB761"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 248 </w:t>
                  </w:r>
                </w:p>
              </w:tc>
              <w:tc>
                <w:tcPr>
                  <w:tcW w:w="7198" w:type="dxa"/>
                  <w:tcBorders>
                    <w:top w:val="nil"/>
                    <w:left w:val="nil"/>
                    <w:bottom w:val="nil"/>
                    <w:right w:val="nil"/>
                  </w:tcBorders>
                  <w:vAlign w:val="center"/>
                  <w:hideMark/>
                </w:tcPr>
                <w:p w14:paraId="17F0EF17"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Sanitary tap-ware. General specification for electrodeposited coatings of Ni-Cr</w:t>
                  </w:r>
                </w:p>
              </w:tc>
            </w:tr>
            <w:tr w:rsidR="002E6C26" w:rsidRPr="002823E9" w14:paraId="2272A1CA" w14:textId="77777777" w:rsidTr="00233A3D">
              <w:trPr>
                <w:trHeight w:val="198"/>
              </w:trPr>
              <w:tc>
                <w:tcPr>
                  <w:tcW w:w="1806" w:type="dxa"/>
                  <w:tcBorders>
                    <w:top w:val="nil"/>
                    <w:left w:val="nil"/>
                    <w:bottom w:val="nil"/>
                    <w:right w:val="nil"/>
                  </w:tcBorders>
                  <w:vAlign w:val="center"/>
                  <w:hideMark/>
                </w:tcPr>
                <w:p w14:paraId="534393C2"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EN60335-1 </w:t>
                  </w:r>
                </w:p>
              </w:tc>
              <w:tc>
                <w:tcPr>
                  <w:tcW w:w="7198" w:type="dxa"/>
                  <w:tcBorders>
                    <w:top w:val="nil"/>
                    <w:left w:val="nil"/>
                    <w:bottom w:val="nil"/>
                    <w:right w:val="nil"/>
                  </w:tcBorders>
                  <w:vAlign w:val="center"/>
                  <w:hideMark/>
                </w:tcPr>
                <w:p w14:paraId="62885004"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Household and Similar Electrical Appliances</w:t>
                  </w:r>
                </w:p>
              </w:tc>
            </w:tr>
            <w:tr w:rsidR="002E6C26" w:rsidRPr="002823E9" w14:paraId="7220E697" w14:textId="77777777" w:rsidTr="00233A3D">
              <w:trPr>
                <w:trHeight w:val="402"/>
              </w:trPr>
              <w:tc>
                <w:tcPr>
                  <w:tcW w:w="1806" w:type="dxa"/>
                  <w:tcBorders>
                    <w:top w:val="nil"/>
                    <w:left w:val="nil"/>
                    <w:bottom w:val="nil"/>
                    <w:right w:val="nil"/>
                  </w:tcBorders>
                  <w:vAlign w:val="center"/>
                  <w:hideMark/>
                </w:tcPr>
                <w:p w14:paraId="22B59149"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EN60335-2-35 </w:t>
                  </w:r>
                </w:p>
              </w:tc>
              <w:tc>
                <w:tcPr>
                  <w:tcW w:w="7198" w:type="dxa"/>
                  <w:tcBorders>
                    <w:top w:val="nil"/>
                    <w:left w:val="nil"/>
                    <w:bottom w:val="nil"/>
                    <w:right w:val="nil"/>
                  </w:tcBorders>
                  <w:vAlign w:val="center"/>
                  <w:hideMark/>
                </w:tcPr>
                <w:p w14:paraId="2A935B43"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Household and Similar Electrical Appliances, Safety, Particular Requirements for instantaneous water heaters</w:t>
                  </w:r>
                </w:p>
              </w:tc>
            </w:tr>
          </w:tbl>
          <w:p w14:paraId="733B131B" w14:textId="77777777" w:rsidR="002E6C26" w:rsidRPr="002823E9" w:rsidRDefault="002E6C26" w:rsidP="00233A3D">
            <w:pPr>
              <w:jc w:val="both"/>
              <w:rPr>
                <w:rFonts w:ascii="Aptos" w:hAnsi="Aptos" w:cstheme="minorHAnsi"/>
                <w:sz w:val="20"/>
                <w:szCs w:val="20"/>
              </w:rPr>
            </w:pPr>
          </w:p>
        </w:tc>
      </w:tr>
      <w:tr w:rsidR="002E6C26" w:rsidRPr="002823E9" w14:paraId="217A009B" w14:textId="77777777" w:rsidTr="00233A3D">
        <w:trPr>
          <w:trHeight w:val="511"/>
          <w:jc w:val="center"/>
        </w:trPr>
        <w:tc>
          <w:tcPr>
            <w:tcW w:w="455" w:type="dxa"/>
            <w:vAlign w:val="center"/>
          </w:tcPr>
          <w:p w14:paraId="3BA90940"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5ED4B6E9"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Lowest maximum available water flow rate</w:t>
            </w:r>
          </w:p>
        </w:tc>
      </w:tr>
      <w:tr w:rsidR="002E6C26" w:rsidRPr="002823E9" w14:paraId="7A62C230" w14:textId="77777777" w:rsidTr="00233A3D">
        <w:trPr>
          <w:trHeight w:val="416"/>
          <w:jc w:val="center"/>
        </w:trPr>
        <w:tc>
          <w:tcPr>
            <w:tcW w:w="455" w:type="dxa"/>
            <w:shd w:val="clear" w:color="auto" w:fill="D9D9D9" w:themeFill="background1" w:themeFillShade="D9"/>
            <w:vAlign w:val="center"/>
          </w:tcPr>
          <w:p w14:paraId="60760CBA"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2BD33448"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Otherwise, result of sanitary tap-ware testing according to the test procedure contained in the relevant EN standard (see the list in Table 2) or an equivalent standard shall be submitted together with the tender to the contracting authority for verification. The testing shall be conducted at pressure of 1.5, 3.0 and 4.5 bar (± 0.2 bar) for products declared by the manufacture as being suitable for high pressure installations (typically 1.0 to 5.0 bar) or at pressure of 0.2, 0.3 and 0.5 bar (± 0.02 bar) for products declared by the manufacture as being suitable for low pressure installations (typically 0.1 to 0.5 bar). The mean value of the three measurements shall not be lower than the water flow rate value indicated in Table 3. The testing shall be performed by laboratories that meet the general requirements of EN ISO 17025 or equivalent.</w:t>
            </w:r>
          </w:p>
          <w:p w14:paraId="60897988" w14:textId="77777777" w:rsidR="002E6C26" w:rsidRPr="002823E9" w:rsidRDefault="002E6C26" w:rsidP="00233A3D">
            <w:pPr>
              <w:jc w:val="both"/>
              <w:rPr>
                <w:rFonts w:ascii="Aptos" w:hAnsi="Aptos" w:cstheme="minorHAnsi"/>
                <w:sz w:val="20"/>
                <w:szCs w:val="20"/>
              </w:rPr>
            </w:pPr>
          </w:p>
          <w:p w14:paraId="15084C45" w14:textId="77777777" w:rsidR="002E6C26" w:rsidRPr="002823E9" w:rsidRDefault="002E6C26" w:rsidP="00233A3D">
            <w:pPr>
              <w:jc w:val="both"/>
              <w:rPr>
                <w:rFonts w:ascii="Aptos" w:hAnsi="Aptos" w:cstheme="minorHAnsi"/>
                <w:color w:val="000000"/>
                <w:sz w:val="20"/>
                <w:szCs w:val="20"/>
                <w:lang w:val="en-GB" w:eastAsia="en-GB"/>
              </w:rPr>
            </w:pPr>
            <w:r w:rsidRPr="002823E9">
              <w:rPr>
                <w:rFonts w:ascii="Aptos" w:hAnsi="Aptos" w:cstheme="minorHAnsi"/>
                <w:sz w:val="20"/>
                <w:szCs w:val="20"/>
              </w:rPr>
              <w:t>A technical dossier from the manufacturer or other appropriate means of proof demonstrating that these requirements have been met will also be accepted.</w:t>
            </w:r>
          </w:p>
        </w:tc>
      </w:tr>
      <w:tr w:rsidR="002E6C26" w:rsidRPr="002823E9" w14:paraId="55CA8F01" w14:textId="77777777" w:rsidTr="00233A3D">
        <w:trPr>
          <w:trHeight w:val="511"/>
          <w:jc w:val="center"/>
        </w:trPr>
        <w:tc>
          <w:tcPr>
            <w:tcW w:w="455" w:type="dxa"/>
            <w:vAlign w:val="center"/>
          </w:tcPr>
          <w:p w14:paraId="39C0A473"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2E7190BE"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Temperature management</w:t>
            </w:r>
          </w:p>
        </w:tc>
      </w:tr>
      <w:tr w:rsidR="002E6C26" w:rsidRPr="002823E9" w14:paraId="00870C30" w14:textId="77777777" w:rsidTr="00233A3D">
        <w:trPr>
          <w:trHeight w:val="416"/>
          <w:jc w:val="center"/>
        </w:trPr>
        <w:tc>
          <w:tcPr>
            <w:tcW w:w="455" w:type="dxa"/>
            <w:shd w:val="clear" w:color="auto" w:fill="D9D9D9" w:themeFill="background1" w:themeFillShade="D9"/>
            <w:vAlign w:val="center"/>
          </w:tcPr>
          <w:p w14:paraId="56DD0C3A"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792AF85D"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 appropriate means of proof will also be accepted, e.g., manufacturer/supplier statement specifying the type of solution used and its technical parameters, as appropriate, shall be submitted. Where a water supply is already temperature controlled the tenderer shall explain the specific technical property that makes the sanitary tap-ware specifically designed to be fitted to this form of system.</w:t>
            </w:r>
          </w:p>
        </w:tc>
      </w:tr>
      <w:tr w:rsidR="002E6C26" w:rsidRPr="002823E9" w14:paraId="6F8D0C40" w14:textId="77777777" w:rsidTr="00233A3D">
        <w:trPr>
          <w:trHeight w:val="511"/>
          <w:jc w:val="center"/>
        </w:trPr>
        <w:tc>
          <w:tcPr>
            <w:tcW w:w="455" w:type="dxa"/>
            <w:vAlign w:val="center"/>
          </w:tcPr>
          <w:p w14:paraId="57EB3F6A"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76ECA544"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Time control for sanitary tapware for multiple users and high frequency use</w:t>
            </w:r>
          </w:p>
        </w:tc>
      </w:tr>
      <w:tr w:rsidR="002E6C26" w:rsidRPr="002823E9" w14:paraId="3C0D4E2F" w14:textId="77777777" w:rsidTr="00233A3D">
        <w:trPr>
          <w:trHeight w:val="416"/>
          <w:jc w:val="center"/>
        </w:trPr>
        <w:tc>
          <w:tcPr>
            <w:tcW w:w="455" w:type="dxa"/>
            <w:shd w:val="clear" w:color="auto" w:fill="D9D9D9" w:themeFill="background1" w:themeFillShade="D9"/>
            <w:vAlign w:val="center"/>
          </w:tcPr>
          <w:p w14:paraId="111BD87B"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744CA971"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 appropriate means of proof will also be accepted, e.g., manufacturer/supplier statement specifying the type of solution used and its technical parameters, as appropriate, shall be submitted. Where a water supply is already temperature controlled the tenderer shall explain the specific technical property that makes the sanitary tap-ware specifically designed to be fitted to this form of system.</w:t>
            </w:r>
          </w:p>
        </w:tc>
      </w:tr>
      <w:tr w:rsidR="002E6C26" w:rsidRPr="002823E9" w14:paraId="3B3D1C3A" w14:textId="77777777" w:rsidTr="00233A3D">
        <w:trPr>
          <w:trHeight w:val="511"/>
          <w:jc w:val="center"/>
        </w:trPr>
        <w:tc>
          <w:tcPr>
            <w:tcW w:w="455" w:type="dxa"/>
            <w:vAlign w:val="center"/>
          </w:tcPr>
          <w:p w14:paraId="657D3DE9"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10BCEF83"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Exposed surface condition and quality of coating</w:t>
            </w:r>
          </w:p>
        </w:tc>
      </w:tr>
      <w:tr w:rsidR="002E6C26" w:rsidRPr="002823E9" w14:paraId="0E95CBE6" w14:textId="77777777" w:rsidTr="00233A3D">
        <w:trPr>
          <w:trHeight w:val="416"/>
          <w:jc w:val="center"/>
        </w:trPr>
        <w:tc>
          <w:tcPr>
            <w:tcW w:w="455" w:type="dxa"/>
            <w:shd w:val="clear" w:color="auto" w:fill="D9D9D9" w:themeFill="background1" w:themeFillShade="D9"/>
            <w:vAlign w:val="center"/>
          </w:tcPr>
          <w:p w14:paraId="3270BA48"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29A73480"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Otherwise, results of sanitary tap-ware testing according to the test procedure contained in the EN 248 standard or equivalent shall be submitted together with the tender to the contracting authority for verification. The testing shall be performed by laboratories that meet the general requirements of EN ISO 17025 or equivalent. A technical dossier from the manufacturer or other appropriate means of proof demonstrating that these requirements have been met will also be accepted.</w:t>
            </w:r>
          </w:p>
        </w:tc>
      </w:tr>
      <w:tr w:rsidR="002E6C26" w:rsidRPr="002823E9" w14:paraId="0B602981" w14:textId="77777777" w:rsidTr="00233A3D">
        <w:trPr>
          <w:trHeight w:val="511"/>
          <w:jc w:val="center"/>
        </w:trPr>
        <w:tc>
          <w:tcPr>
            <w:tcW w:w="455" w:type="dxa"/>
            <w:vAlign w:val="center"/>
          </w:tcPr>
          <w:p w14:paraId="23BBEF47"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7BD73D86"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theme="minorHAnsi"/>
                <w:b/>
                <w:bCs/>
                <w:sz w:val="20"/>
                <w:szCs w:val="20"/>
              </w:rPr>
              <w:t>Reparability and availability of spare parts</w:t>
            </w:r>
          </w:p>
        </w:tc>
      </w:tr>
      <w:tr w:rsidR="002E6C26" w:rsidRPr="002823E9" w14:paraId="45DE33C1" w14:textId="77777777" w:rsidTr="00233A3D">
        <w:trPr>
          <w:trHeight w:val="416"/>
          <w:jc w:val="center"/>
        </w:trPr>
        <w:tc>
          <w:tcPr>
            <w:tcW w:w="455" w:type="dxa"/>
            <w:shd w:val="clear" w:color="auto" w:fill="D9D9D9" w:themeFill="background1" w:themeFillShade="D9"/>
            <w:vAlign w:val="center"/>
          </w:tcPr>
          <w:p w14:paraId="0324FC07"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3CE55AEE"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Products holding a relevant Type 1 Eco-label fulfilling the listed requirements will be deemed to comply. Other appropriate means of proof will also be accepted such as written evidence from the manufacturer that the above clause is met. The tenderer shall provide a description of how to replace components and provide a guarantee for the availability of spare parts.</w:t>
            </w:r>
          </w:p>
        </w:tc>
      </w:tr>
      <w:tr w:rsidR="002E6C26" w:rsidRPr="002823E9" w14:paraId="79B5C8CA" w14:textId="77777777" w:rsidTr="00233A3D">
        <w:trPr>
          <w:trHeight w:val="511"/>
          <w:jc w:val="center"/>
        </w:trPr>
        <w:tc>
          <w:tcPr>
            <w:tcW w:w="455" w:type="dxa"/>
            <w:vAlign w:val="center"/>
          </w:tcPr>
          <w:p w14:paraId="7874550B" w14:textId="77777777" w:rsidR="002E6C26" w:rsidRPr="002823E9" w:rsidRDefault="002E6C26" w:rsidP="00233A3D">
            <w:pPr>
              <w:numPr>
                <w:ilvl w:val="12"/>
                <w:numId w:val="0"/>
              </w:numPr>
              <w:ind w:left="22" w:hanging="22"/>
              <w:jc w:val="both"/>
              <w:rPr>
                <w:rFonts w:ascii="Aptos" w:hAnsi="Aptos" w:cstheme="minorHAnsi"/>
                <w:b/>
                <w:bCs/>
                <w:sz w:val="20"/>
                <w:szCs w:val="20"/>
              </w:rPr>
            </w:pPr>
          </w:p>
        </w:tc>
        <w:tc>
          <w:tcPr>
            <w:tcW w:w="9116" w:type="dxa"/>
            <w:vAlign w:val="center"/>
          </w:tcPr>
          <w:p w14:paraId="21EF7059" w14:textId="77777777" w:rsidR="002E6C26" w:rsidRPr="002823E9" w:rsidRDefault="002E6C26" w:rsidP="00233A3D">
            <w:pPr>
              <w:numPr>
                <w:ilvl w:val="12"/>
                <w:numId w:val="0"/>
              </w:numPr>
              <w:jc w:val="both"/>
              <w:rPr>
                <w:rFonts w:ascii="Aptos" w:hAnsi="Aptos" w:cstheme="minorHAnsi"/>
                <w:b/>
                <w:bCs/>
                <w:sz w:val="20"/>
                <w:szCs w:val="20"/>
              </w:rPr>
            </w:pPr>
            <w:r w:rsidRPr="002823E9">
              <w:rPr>
                <w:rFonts w:ascii="Aptos" w:hAnsi="Aptos" w:cs="Calibri"/>
                <w:b/>
                <w:bCs/>
                <w:sz w:val="20"/>
                <w:szCs w:val="20"/>
              </w:rPr>
              <w:t>User information</w:t>
            </w:r>
          </w:p>
        </w:tc>
      </w:tr>
      <w:tr w:rsidR="002E6C26" w:rsidRPr="002823E9" w14:paraId="1D24FCF1" w14:textId="77777777" w:rsidTr="00233A3D">
        <w:trPr>
          <w:trHeight w:val="416"/>
          <w:jc w:val="center"/>
        </w:trPr>
        <w:tc>
          <w:tcPr>
            <w:tcW w:w="455" w:type="dxa"/>
            <w:shd w:val="clear" w:color="auto" w:fill="D9D9D9" w:themeFill="background1" w:themeFillShade="D9"/>
            <w:vAlign w:val="center"/>
          </w:tcPr>
          <w:p w14:paraId="4DE4F201" w14:textId="77777777" w:rsidR="002E6C26" w:rsidRPr="002823E9" w:rsidRDefault="002E6C26" w:rsidP="00233A3D">
            <w:pPr>
              <w:pStyle w:val="ListParagraph"/>
              <w:numPr>
                <w:ilvl w:val="0"/>
                <w:numId w:val="26"/>
              </w:numPr>
              <w:ind w:left="389"/>
              <w:jc w:val="both"/>
              <w:rPr>
                <w:rFonts w:ascii="Aptos" w:hAnsi="Aptos" w:cstheme="minorHAnsi"/>
                <w:sz w:val="20"/>
                <w:szCs w:val="20"/>
              </w:rPr>
            </w:pPr>
          </w:p>
        </w:tc>
        <w:tc>
          <w:tcPr>
            <w:tcW w:w="9116" w:type="dxa"/>
            <w:vAlign w:val="center"/>
          </w:tcPr>
          <w:p w14:paraId="6324FDAF" w14:textId="77777777" w:rsidR="002E6C26" w:rsidRPr="002823E9" w:rsidRDefault="002E6C26" w:rsidP="00233A3D">
            <w:pPr>
              <w:jc w:val="both"/>
              <w:rPr>
                <w:rFonts w:ascii="Aptos" w:hAnsi="Aptos" w:cstheme="minorHAnsi"/>
                <w:sz w:val="20"/>
                <w:szCs w:val="20"/>
              </w:rPr>
            </w:pPr>
            <w:r w:rsidRPr="002823E9">
              <w:rPr>
                <w:rFonts w:ascii="Aptos" w:hAnsi="Aptos" w:cstheme="minorHAnsi"/>
                <w:sz w:val="20"/>
                <w:szCs w:val="20"/>
              </w:rPr>
              <w:t xml:space="preserve">Products holding a relevant Type 1 Eco-label fulfilling the listed requirements will be deemed to comply. Other appropriate means of proof will also be accepted such as written evidence from the manufacturer that the above clause is met. </w:t>
            </w:r>
          </w:p>
        </w:tc>
      </w:tr>
    </w:tbl>
    <w:p w14:paraId="25EAA2AC" w14:textId="77777777" w:rsidR="007B424D" w:rsidRDefault="007B424D" w:rsidP="0070427C"/>
    <w:sectPr w:rsidR="007B424D" w:rsidSect="00675762">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6981E" w14:textId="77777777" w:rsidR="00F82186" w:rsidRDefault="00F82186" w:rsidP="00675762">
      <w:r>
        <w:separator/>
      </w:r>
    </w:p>
  </w:endnote>
  <w:endnote w:type="continuationSeparator" w:id="0">
    <w:p w14:paraId="72F25E7E" w14:textId="77777777" w:rsidR="00F82186" w:rsidRDefault="00F82186" w:rsidP="0067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47E9E" w14:textId="77777777" w:rsidR="00F82186" w:rsidRDefault="00F82186" w:rsidP="00675762">
      <w:r>
        <w:separator/>
      </w:r>
    </w:p>
  </w:footnote>
  <w:footnote w:type="continuationSeparator" w:id="0">
    <w:p w14:paraId="6880FA53" w14:textId="77777777" w:rsidR="00F82186" w:rsidRDefault="00F82186" w:rsidP="00675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6BE2"/>
    <w:multiLevelType w:val="hybridMultilevel"/>
    <w:tmpl w:val="36F831C8"/>
    <w:lvl w:ilvl="0" w:tplc="FFFFFFFF">
      <w:start w:val="1"/>
      <w:numFmt w:val="lowerRoman"/>
      <w:lvlText w:val="%1."/>
      <w:lvlJc w:val="right"/>
      <w:pPr>
        <w:ind w:left="900" w:hanging="180"/>
      </w:pPr>
      <w:rPr>
        <w:b w:val="0"/>
        <w:bCs w:val="0"/>
      </w:rPr>
    </w:lvl>
    <w:lvl w:ilvl="1" w:tplc="FFFFFFFF" w:tentative="1">
      <w:start w:val="1"/>
      <w:numFmt w:val="lowerLetter"/>
      <w:lvlText w:val="%2."/>
      <w:lvlJc w:val="left"/>
      <w:pPr>
        <w:ind w:left="114" w:hanging="360"/>
      </w:pPr>
    </w:lvl>
    <w:lvl w:ilvl="2" w:tplc="FFFFFFFF" w:tentative="1">
      <w:start w:val="1"/>
      <w:numFmt w:val="lowerRoman"/>
      <w:lvlText w:val="%3."/>
      <w:lvlJc w:val="right"/>
      <w:pPr>
        <w:ind w:left="834" w:hanging="180"/>
      </w:pPr>
    </w:lvl>
    <w:lvl w:ilvl="3" w:tplc="FFFFFFFF" w:tentative="1">
      <w:start w:val="1"/>
      <w:numFmt w:val="decimal"/>
      <w:lvlText w:val="%4."/>
      <w:lvlJc w:val="left"/>
      <w:pPr>
        <w:ind w:left="1554" w:hanging="360"/>
      </w:pPr>
    </w:lvl>
    <w:lvl w:ilvl="4" w:tplc="FFFFFFFF" w:tentative="1">
      <w:start w:val="1"/>
      <w:numFmt w:val="lowerLetter"/>
      <w:lvlText w:val="%5."/>
      <w:lvlJc w:val="left"/>
      <w:pPr>
        <w:ind w:left="2274" w:hanging="360"/>
      </w:pPr>
    </w:lvl>
    <w:lvl w:ilvl="5" w:tplc="FFFFFFFF" w:tentative="1">
      <w:start w:val="1"/>
      <w:numFmt w:val="lowerRoman"/>
      <w:lvlText w:val="%6."/>
      <w:lvlJc w:val="right"/>
      <w:pPr>
        <w:ind w:left="2994" w:hanging="180"/>
      </w:pPr>
    </w:lvl>
    <w:lvl w:ilvl="6" w:tplc="FFFFFFFF" w:tentative="1">
      <w:start w:val="1"/>
      <w:numFmt w:val="decimal"/>
      <w:lvlText w:val="%7."/>
      <w:lvlJc w:val="left"/>
      <w:pPr>
        <w:ind w:left="3714" w:hanging="360"/>
      </w:pPr>
    </w:lvl>
    <w:lvl w:ilvl="7" w:tplc="FFFFFFFF" w:tentative="1">
      <w:start w:val="1"/>
      <w:numFmt w:val="lowerLetter"/>
      <w:lvlText w:val="%8."/>
      <w:lvlJc w:val="left"/>
      <w:pPr>
        <w:ind w:left="4434" w:hanging="360"/>
      </w:pPr>
    </w:lvl>
    <w:lvl w:ilvl="8" w:tplc="FFFFFFFF" w:tentative="1">
      <w:start w:val="1"/>
      <w:numFmt w:val="lowerRoman"/>
      <w:lvlText w:val="%9."/>
      <w:lvlJc w:val="right"/>
      <w:pPr>
        <w:ind w:left="5154" w:hanging="180"/>
      </w:pPr>
    </w:lvl>
  </w:abstractNum>
  <w:abstractNum w:abstractNumId="1" w15:restartNumberingAfterBreak="0">
    <w:nsid w:val="074D4D71"/>
    <w:multiLevelType w:val="hybridMultilevel"/>
    <w:tmpl w:val="36F831C8"/>
    <w:lvl w:ilvl="0" w:tplc="FFFFFFFF">
      <w:start w:val="1"/>
      <w:numFmt w:val="lowerRoman"/>
      <w:lvlText w:val="%1."/>
      <w:lvlJc w:val="right"/>
      <w:pPr>
        <w:ind w:left="900" w:hanging="180"/>
      </w:pPr>
      <w:rPr>
        <w:b w:val="0"/>
        <w:bCs w:val="0"/>
      </w:rPr>
    </w:lvl>
    <w:lvl w:ilvl="1" w:tplc="FFFFFFFF" w:tentative="1">
      <w:start w:val="1"/>
      <w:numFmt w:val="lowerLetter"/>
      <w:lvlText w:val="%2."/>
      <w:lvlJc w:val="left"/>
      <w:pPr>
        <w:ind w:left="114" w:hanging="360"/>
      </w:pPr>
    </w:lvl>
    <w:lvl w:ilvl="2" w:tplc="FFFFFFFF" w:tentative="1">
      <w:start w:val="1"/>
      <w:numFmt w:val="lowerRoman"/>
      <w:lvlText w:val="%3."/>
      <w:lvlJc w:val="right"/>
      <w:pPr>
        <w:ind w:left="834" w:hanging="180"/>
      </w:pPr>
    </w:lvl>
    <w:lvl w:ilvl="3" w:tplc="FFFFFFFF" w:tentative="1">
      <w:start w:val="1"/>
      <w:numFmt w:val="decimal"/>
      <w:lvlText w:val="%4."/>
      <w:lvlJc w:val="left"/>
      <w:pPr>
        <w:ind w:left="1554" w:hanging="360"/>
      </w:pPr>
    </w:lvl>
    <w:lvl w:ilvl="4" w:tplc="FFFFFFFF" w:tentative="1">
      <w:start w:val="1"/>
      <w:numFmt w:val="lowerLetter"/>
      <w:lvlText w:val="%5."/>
      <w:lvlJc w:val="left"/>
      <w:pPr>
        <w:ind w:left="2274" w:hanging="360"/>
      </w:pPr>
    </w:lvl>
    <w:lvl w:ilvl="5" w:tplc="FFFFFFFF" w:tentative="1">
      <w:start w:val="1"/>
      <w:numFmt w:val="lowerRoman"/>
      <w:lvlText w:val="%6."/>
      <w:lvlJc w:val="right"/>
      <w:pPr>
        <w:ind w:left="2994" w:hanging="180"/>
      </w:pPr>
    </w:lvl>
    <w:lvl w:ilvl="6" w:tplc="FFFFFFFF" w:tentative="1">
      <w:start w:val="1"/>
      <w:numFmt w:val="decimal"/>
      <w:lvlText w:val="%7."/>
      <w:lvlJc w:val="left"/>
      <w:pPr>
        <w:ind w:left="3714" w:hanging="360"/>
      </w:pPr>
    </w:lvl>
    <w:lvl w:ilvl="7" w:tplc="FFFFFFFF" w:tentative="1">
      <w:start w:val="1"/>
      <w:numFmt w:val="lowerLetter"/>
      <w:lvlText w:val="%8."/>
      <w:lvlJc w:val="left"/>
      <w:pPr>
        <w:ind w:left="4434" w:hanging="360"/>
      </w:pPr>
    </w:lvl>
    <w:lvl w:ilvl="8" w:tplc="FFFFFFFF" w:tentative="1">
      <w:start w:val="1"/>
      <w:numFmt w:val="lowerRoman"/>
      <w:lvlText w:val="%9."/>
      <w:lvlJc w:val="right"/>
      <w:pPr>
        <w:ind w:left="5154" w:hanging="180"/>
      </w:pPr>
    </w:lvl>
  </w:abstractNum>
  <w:abstractNum w:abstractNumId="2" w15:restartNumberingAfterBreak="0">
    <w:nsid w:val="17CF225E"/>
    <w:multiLevelType w:val="hybridMultilevel"/>
    <w:tmpl w:val="702CAC34"/>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945F07"/>
    <w:multiLevelType w:val="multilevel"/>
    <w:tmpl w:val="AEC69560"/>
    <w:lvl w:ilvl="0">
      <w:start w:val="1"/>
      <w:numFmt w:val="decimal"/>
      <w:lvlText w:val="%1."/>
      <w:lvlJc w:val="left"/>
      <w:pPr>
        <w:ind w:left="360" w:hanging="360"/>
      </w:p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A9136DF"/>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0509A5"/>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25224A"/>
    <w:multiLevelType w:val="hybridMultilevel"/>
    <w:tmpl w:val="5C56AF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A620E4"/>
    <w:multiLevelType w:val="hybridMultilevel"/>
    <w:tmpl w:val="702CAC3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566B94"/>
    <w:multiLevelType w:val="hybridMultilevel"/>
    <w:tmpl w:val="702CAC3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C434A7"/>
    <w:multiLevelType w:val="hybridMultilevel"/>
    <w:tmpl w:val="70B89E3C"/>
    <w:lvl w:ilvl="0" w:tplc="E824380C">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9BA2B93"/>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685F1F"/>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77490C"/>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FB1DA3"/>
    <w:multiLevelType w:val="hybridMultilevel"/>
    <w:tmpl w:val="D2129EC0"/>
    <w:lvl w:ilvl="0" w:tplc="84D432F2">
      <w:start w:val="1"/>
      <w:numFmt w:val="lowerLetter"/>
      <w:lvlText w:val="%1)"/>
      <w:lvlJc w:val="left"/>
      <w:pPr>
        <w:ind w:left="786" w:hanging="360"/>
      </w:pPr>
      <w:rPr>
        <w:rFonts w:asciiTheme="minorHAnsi" w:hAnsiTheme="minorHAnsi" w:cstheme="minorHAnsi" w:hint="default"/>
        <w:b w:val="0"/>
        <w:bCs w:val="0"/>
        <w:sz w:val="24"/>
        <w:szCs w:val="24"/>
      </w:rPr>
    </w:lvl>
    <w:lvl w:ilvl="1" w:tplc="08090019" w:tentative="1">
      <w:start w:val="1"/>
      <w:numFmt w:val="lowerLetter"/>
      <w:lvlText w:val="%2."/>
      <w:lvlJc w:val="left"/>
      <w:pPr>
        <w:ind w:left="1506" w:hanging="360"/>
      </w:pPr>
    </w:lvl>
    <w:lvl w:ilvl="2" w:tplc="0809001B">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511F5B9E"/>
    <w:multiLevelType w:val="hybridMultilevel"/>
    <w:tmpl w:val="4CD60920"/>
    <w:lvl w:ilvl="0" w:tplc="B5228CB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1D3D07"/>
    <w:multiLevelType w:val="hybridMultilevel"/>
    <w:tmpl w:val="3CD4EAB6"/>
    <w:lvl w:ilvl="0" w:tplc="45E6D76C">
      <w:start w:val="1"/>
      <w:numFmt w:val="lowerRoman"/>
      <w:lvlText w:val="%1."/>
      <w:lvlJc w:val="right"/>
      <w:pPr>
        <w:ind w:left="900" w:hanging="180"/>
      </w:pPr>
      <w:rPr>
        <w:b w:val="0"/>
        <w:bCs w:val="0"/>
      </w:rPr>
    </w:lvl>
    <w:lvl w:ilvl="1" w:tplc="20000019" w:tentative="1">
      <w:start w:val="1"/>
      <w:numFmt w:val="lowerLetter"/>
      <w:lvlText w:val="%2."/>
      <w:lvlJc w:val="left"/>
      <w:pPr>
        <w:ind w:left="114" w:hanging="360"/>
      </w:pPr>
    </w:lvl>
    <w:lvl w:ilvl="2" w:tplc="2000001B" w:tentative="1">
      <w:start w:val="1"/>
      <w:numFmt w:val="lowerRoman"/>
      <w:lvlText w:val="%3."/>
      <w:lvlJc w:val="right"/>
      <w:pPr>
        <w:ind w:left="834" w:hanging="180"/>
      </w:pPr>
    </w:lvl>
    <w:lvl w:ilvl="3" w:tplc="2000000F" w:tentative="1">
      <w:start w:val="1"/>
      <w:numFmt w:val="decimal"/>
      <w:lvlText w:val="%4."/>
      <w:lvlJc w:val="left"/>
      <w:pPr>
        <w:ind w:left="1554" w:hanging="360"/>
      </w:pPr>
    </w:lvl>
    <w:lvl w:ilvl="4" w:tplc="20000019" w:tentative="1">
      <w:start w:val="1"/>
      <w:numFmt w:val="lowerLetter"/>
      <w:lvlText w:val="%5."/>
      <w:lvlJc w:val="left"/>
      <w:pPr>
        <w:ind w:left="2274" w:hanging="360"/>
      </w:pPr>
    </w:lvl>
    <w:lvl w:ilvl="5" w:tplc="2000001B" w:tentative="1">
      <w:start w:val="1"/>
      <w:numFmt w:val="lowerRoman"/>
      <w:lvlText w:val="%6."/>
      <w:lvlJc w:val="right"/>
      <w:pPr>
        <w:ind w:left="2994" w:hanging="180"/>
      </w:pPr>
    </w:lvl>
    <w:lvl w:ilvl="6" w:tplc="2000000F" w:tentative="1">
      <w:start w:val="1"/>
      <w:numFmt w:val="decimal"/>
      <w:lvlText w:val="%7."/>
      <w:lvlJc w:val="left"/>
      <w:pPr>
        <w:ind w:left="3714" w:hanging="360"/>
      </w:pPr>
    </w:lvl>
    <w:lvl w:ilvl="7" w:tplc="20000019" w:tentative="1">
      <w:start w:val="1"/>
      <w:numFmt w:val="lowerLetter"/>
      <w:lvlText w:val="%8."/>
      <w:lvlJc w:val="left"/>
      <w:pPr>
        <w:ind w:left="4434" w:hanging="360"/>
      </w:pPr>
    </w:lvl>
    <w:lvl w:ilvl="8" w:tplc="2000001B" w:tentative="1">
      <w:start w:val="1"/>
      <w:numFmt w:val="lowerRoman"/>
      <w:lvlText w:val="%9."/>
      <w:lvlJc w:val="right"/>
      <w:pPr>
        <w:ind w:left="5154" w:hanging="180"/>
      </w:pPr>
    </w:lvl>
  </w:abstractNum>
  <w:abstractNum w:abstractNumId="16" w15:restartNumberingAfterBreak="0">
    <w:nsid w:val="5F712CB4"/>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E460AF"/>
    <w:multiLevelType w:val="hybridMultilevel"/>
    <w:tmpl w:val="702CAC3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7751A6"/>
    <w:multiLevelType w:val="hybridMultilevel"/>
    <w:tmpl w:val="3C666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A56ABD"/>
    <w:multiLevelType w:val="hybridMultilevel"/>
    <w:tmpl w:val="A9F241B0"/>
    <w:lvl w:ilvl="0" w:tplc="5D9EEC7C">
      <w:start w:val="1"/>
      <w:numFmt w:val="decimal"/>
      <w:lvlText w:val="%1)"/>
      <w:lvlJc w:val="left"/>
      <w:pPr>
        <w:tabs>
          <w:tab w:val="num" w:pos="720"/>
        </w:tabs>
        <w:ind w:left="720" w:hanging="360"/>
      </w:pPr>
      <w:rPr>
        <w:rFonts w:ascii="Trebuchet MS" w:hAnsi="Trebuchet MS" w:hint="default"/>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5054192"/>
    <w:multiLevelType w:val="hybridMultilevel"/>
    <w:tmpl w:val="E88CDAAE"/>
    <w:lvl w:ilvl="0" w:tplc="CFCC61D8">
      <w:start w:val="1"/>
      <w:numFmt w:val="lowerLetter"/>
      <w:lvlText w:val="%1)"/>
      <w:lvlJc w:val="left"/>
      <w:pPr>
        <w:ind w:left="439" w:hanging="360"/>
      </w:pPr>
      <w:rPr>
        <w:rFonts w:asciiTheme="minorHAnsi" w:eastAsia="Times New Roman" w:hAnsiTheme="minorHAnsi" w:cstheme="minorHAnsi"/>
        <w:b w:val="0"/>
        <w:bCs w:val="0"/>
      </w:rPr>
    </w:lvl>
    <w:lvl w:ilvl="1" w:tplc="FFFFFFFF" w:tentative="1">
      <w:start w:val="1"/>
      <w:numFmt w:val="lowerLetter"/>
      <w:lvlText w:val="%2."/>
      <w:lvlJc w:val="left"/>
      <w:pPr>
        <w:ind w:left="1159" w:hanging="360"/>
      </w:pPr>
    </w:lvl>
    <w:lvl w:ilvl="2" w:tplc="FFFFFFFF" w:tentative="1">
      <w:start w:val="1"/>
      <w:numFmt w:val="lowerRoman"/>
      <w:lvlText w:val="%3."/>
      <w:lvlJc w:val="right"/>
      <w:pPr>
        <w:ind w:left="1879" w:hanging="180"/>
      </w:pPr>
    </w:lvl>
    <w:lvl w:ilvl="3" w:tplc="FFFFFFFF" w:tentative="1">
      <w:start w:val="1"/>
      <w:numFmt w:val="decimal"/>
      <w:lvlText w:val="%4."/>
      <w:lvlJc w:val="left"/>
      <w:pPr>
        <w:ind w:left="2599" w:hanging="360"/>
      </w:pPr>
    </w:lvl>
    <w:lvl w:ilvl="4" w:tplc="FFFFFFFF" w:tentative="1">
      <w:start w:val="1"/>
      <w:numFmt w:val="lowerLetter"/>
      <w:lvlText w:val="%5."/>
      <w:lvlJc w:val="left"/>
      <w:pPr>
        <w:ind w:left="3319" w:hanging="360"/>
      </w:pPr>
    </w:lvl>
    <w:lvl w:ilvl="5" w:tplc="FFFFFFFF" w:tentative="1">
      <w:start w:val="1"/>
      <w:numFmt w:val="lowerRoman"/>
      <w:lvlText w:val="%6."/>
      <w:lvlJc w:val="right"/>
      <w:pPr>
        <w:ind w:left="4039" w:hanging="180"/>
      </w:pPr>
    </w:lvl>
    <w:lvl w:ilvl="6" w:tplc="FFFFFFFF" w:tentative="1">
      <w:start w:val="1"/>
      <w:numFmt w:val="decimal"/>
      <w:lvlText w:val="%7."/>
      <w:lvlJc w:val="left"/>
      <w:pPr>
        <w:ind w:left="4759" w:hanging="360"/>
      </w:pPr>
    </w:lvl>
    <w:lvl w:ilvl="7" w:tplc="FFFFFFFF" w:tentative="1">
      <w:start w:val="1"/>
      <w:numFmt w:val="lowerLetter"/>
      <w:lvlText w:val="%8."/>
      <w:lvlJc w:val="left"/>
      <w:pPr>
        <w:ind w:left="5479" w:hanging="360"/>
      </w:pPr>
    </w:lvl>
    <w:lvl w:ilvl="8" w:tplc="FFFFFFFF" w:tentative="1">
      <w:start w:val="1"/>
      <w:numFmt w:val="lowerRoman"/>
      <w:lvlText w:val="%9."/>
      <w:lvlJc w:val="right"/>
      <w:pPr>
        <w:ind w:left="6199" w:hanging="180"/>
      </w:pPr>
    </w:lvl>
  </w:abstractNum>
  <w:abstractNum w:abstractNumId="21" w15:restartNumberingAfterBreak="0">
    <w:nsid w:val="6B4C20F7"/>
    <w:multiLevelType w:val="hybridMultilevel"/>
    <w:tmpl w:val="5C56AF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031271"/>
    <w:multiLevelType w:val="hybridMultilevel"/>
    <w:tmpl w:val="36BE8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567665"/>
    <w:multiLevelType w:val="hybridMultilevel"/>
    <w:tmpl w:val="702CAC3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587B7A"/>
    <w:multiLevelType w:val="hybridMultilevel"/>
    <w:tmpl w:val="9514C678"/>
    <w:lvl w:ilvl="0" w:tplc="A9189EB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5C6F72"/>
    <w:multiLevelType w:val="hybridMultilevel"/>
    <w:tmpl w:val="702CAC3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CCF5E81"/>
    <w:multiLevelType w:val="hybridMultilevel"/>
    <w:tmpl w:val="DE12D84E"/>
    <w:lvl w:ilvl="0" w:tplc="BD3E7BC0">
      <w:start w:val="1"/>
      <w:numFmt w:val="lowerLetter"/>
      <w:lvlText w:val="%1)"/>
      <w:lvlJc w:val="left"/>
      <w:pPr>
        <w:ind w:left="439" w:hanging="360"/>
      </w:pPr>
      <w:rPr>
        <w:rFonts w:asciiTheme="minorHAnsi" w:eastAsia="Times New Roman" w:hAnsiTheme="minorHAnsi" w:cstheme="minorHAnsi"/>
      </w:rPr>
    </w:lvl>
    <w:lvl w:ilvl="1" w:tplc="08090019" w:tentative="1">
      <w:start w:val="1"/>
      <w:numFmt w:val="lowerLetter"/>
      <w:lvlText w:val="%2."/>
      <w:lvlJc w:val="left"/>
      <w:pPr>
        <w:ind w:left="1159" w:hanging="360"/>
      </w:pPr>
    </w:lvl>
    <w:lvl w:ilvl="2" w:tplc="0809001B" w:tentative="1">
      <w:start w:val="1"/>
      <w:numFmt w:val="lowerRoman"/>
      <w:lvlText w:val="%3."/>
      <w:lvlJc w:val="right"/>
      <w:pPr>
        <w:ind w:left="1879" w:hanging="180"/>
      </w:pPr>
    </w:lvl>
    <w:lvl w:ilvl="3" w:tplc="0809000F" w:tentative="1">
      <w:start w:val="1"/>
      <w:numFmt w:val="decimal"/>
      <w:lvlText w:val="%4."/>
      <w:lvlJc w:val="left"/>
      <w:pPr>
        <w:ind w:left="2599" w:hanging="360"/>
      </w:pPr>
    </w:lvl>
    <w:lvl w:ilvl="4" w:tplc="08090019" w:tentative="1">
      <w:start w:val="1"/>
      <w:numFmt w:val="lowerLetter"/>
      <w:lvlText w:val="%5."/>
      <w:lvlJc w:val="left"/>
      <w:pPr>
        <w:ind w:left="3319" w:hanging="360"/>
      </w:pPr>
    </w:lvl>
    <w:lvl w:ilvl="5" w:tplc="0809001B" w:tentative="1">
      <w:start w:val="1"/>
      <w:numFmt w:val="lowerRoman"/>
      <w:lvlText w:val="%6."/>
      <w:lvlJc w:val="right"/>
      <w:pPr>
        <w:ind w:left="4039" w:hanging="180"/>
      </w:pPr>
    </w:lvl>
    <w:lvl w:ilvl="6" w:tplc="0809000F" w:tentative="1">
      <w:start w:val="1"/>
      <w:numFmt w:val="decimal"/>
      <w:lvlText w:val="%7."/>
      <w:lvlJc w:val="left"/>
      <w:pPr>
        <w:ind w:left="4759" w:hanging="360"/>
      </w:pPr>
    </w:lvl>
    <w:lvl w:ilvl="7" w:tplc="08090019" w:tentative="1">
      <w:start w:val="1"/>
      <w:numFmt w:val="lowerLetter"/>
      <w:lvlText w:val="%8."/>
      <w:lvlJc w:val="left"/>
      <w:pPr>
        <w:ind w:left="5479" w:hanging="360"/>
      </w:pPr>
    </w:lvl>
    <w:lvl w:ilvl="8" w:tplc="0809001B" w:tentative="1">
      <w:start w:val="1"/>
      <w:numFmt w:val="lowerRoman"/>
      <w:lvlText w:val="%9."/>
      <w:lvlJc w:val="right"/>
      <w:pPr>
        <w:ind w:left="6199" w:hanging="180"/>
      </w:pPr>
    </w:lvl>
  </w:abstractNum>
  <w:abstractNum w:abstractNumId="27" w15:restartNumberingAfterBreak="0">
    <w:nsid w:val="7F1C29B3"/>
    <w:multiLevelType w:val="hybridMultilevel"/>
    <w:tmpl w:val="E48ED15C"/>
    <w:lvl w:ilvl="0" w:tplc="0809001B">
      <w:start w:val="1"/>
      <w:numFmt w:val="lowerRoman"/>
      <w:lvlText w:val="%1."/>
      <w:lvlJc w:val="right"/>
      <w:pPr>
        <w:ind w:left="2160" w:hanging="180"/>
      </w:pPr>
    </w:lvl>
    <w:lvl w:ilvl="1" w:tplc="20000019" w:tentative="1">
      <w:start w:val="1"/>
      <w:numFmt w:val="lowerLetter"/>
      <w:lvlText w:val="%2."/>
      <w:lvlJc w:val="left"/>
      <w:pPr>
        <w:ind w:left="1374" w:hanging="360"/>
      </w:pPr>
    </w:lvl>
    <w:lvl w:ilvl="2" w:tplc="2000001B" w:tentative="1">
      <w:start w:val="1"/>
      <w:numFmt w:val="lowerRoman"/>
      <w:lvlText w:val="%3."/>
      <w:lvlJc w:val="right"/>
      <w:pPr>
        <w:ind w:left="2094" w:hanging="180"/>
      </w:pPr>
    </w:lvl>
    <w:lvl w:ilvl="3" w:tplc="2000000F" w:tentative="1">
      <w:start w:val="1"/>
      <w:numFmt w:val="decimal"/>
      <w:lvlText w:val="%4."/>
      <w:lvlJc w:val="left"/>
      <w:pPr>
        <w:ind w:left="2814" w:hanging="360"/>
      </w:pPr>
    </w:lvl>
    <w:lvl w:ilvl="4" w:tplc="20000019" w:tentative="1">
      <w:start w:val="1"/>
      <w:numFmt w:val="lowerLetter"/>
      <w:lvlText w:val="%5."/>
      <w:lvlJc w:val="left"/>
      <w:pPr>
        <w:ind w:left="3534" w:hanging="360"/>
      </w:pPr>
    </w:lvl>
    <w:lvl w:ilvl="5" w:tplc="2000001B" w:tentative="1">
      <w:start w:val="1"/>
      <w:numFmt w:val="lowerRoman"/>
      <w:lvlText w:val="%6."/>
      <w:lvlJc w:val="right"/>
      <w:pPr>
        <w:ind w:left="4254" w:hanging="180"/>
      </w:pPr>
    </w:lvl>
    <w:lvl w:ilvl="6" w:tplc="2000000F" w:tentative="1">
      <w:start w:val="1"/>
      <w:numFmt w:val="decimal"/>
      <w:lvlText w:val="%7."/>
      <w:lvlJc w:val="left"/>
      <w:pPr>
        <w:ind w:left="4974" w:hanging="360"/>
      </w:pPr>
    </w:lvl>
    <w:lvl w:ilvl="7" w:tplc="20000019" w:tentative="1">
      <w:start w:val="1"/>
      <w:numFmt w:val="lowerLetter"/>
      <w:lvlText w:val="%8."/>
      <w:lvlJc w:val="left"/>
      <w:pPr>
        <w:ind w:left="5694" w:hanging="360"/>
      </w:pPr>
    </w:lvl>
    <w:lvl w:ilvl="8" w:tplc="2000001B" w:tentative="1">
      <w:start w:val="1"/>
      <w:numFmt w:val="lowerRoman"/>
      <w:lvlText w:val="%9."/>
      <w:lvlJc w:val="right"/>
      <w:pPr>
        <w:ind w:left="6414" w:hanging="180"/>
      </w:pPr>
    </w:lvl>
  </w:abstractNum>
  <w:num w:numId="1" w16cid:durableId="461701284">
    <w:abstractNumId w:val="19"/>
  </w:num>
  <w:num w:numId="2" w16cid:durableId="1073773405">
    <w:abstractNumId w:val="14"/>
  </w:num>
  <w:num w:numId="3" w16cid:durableId="360595192">
    <w:abstractNumId w:val="22"/>
  </w:num>
  <w:num w:numId="4" w16cid:durableId="790783726">
    <w:abstractNumId w:val="3"/>
  </w:num>
  <w:num w:numId="5" w16cid:durableId="1276793047">
    <w:abstractNumId w:val="13"/>
  </w:num>
  <w:num w:numId="6" w16cid:durableId="1384677076">
    <w:abstractNumId w:val="26"/>
  </w:num>
  <w:num w:numId="7" w16cid:durableId="1670905">
    <w:abstractNumId w:val="20"/>
  </w:num>
  <w:num w:numId="8" w16cid:durableId="1962177999">
    <w:abstractNumId w:val="18"/>
  </w:num>
  <w:num w:numId="9" w16cid:durableId="1064838052">
    <w:abstractNumId w:val="24"/>
  </w:num>
  <w:num w:numId="10" w16cid:durableId="296299511">
    <w:abstractNumId w:val="15"/>
  </w:num>
  <w:num w:numId="11" w16cid:durableId="885679717">
    <w:abstractNumId w:val="27"/>
  </w:num>
  <w:num w:numId="12" w16cid:durableId="844243634">
    <w:abstractNumId w:val="1"/>
  </w:num>
  <w:num w:numId="13" w16cid:durableId="60713634">
    <w:abstractNumId w:val="0"/>
  </w:num>
  <w:num w:numId="14" w16cid:durableId="2137596893">
    <w:abstractNumId w:val="2"/>
  </w:num>
  <w:num w:numId="15" w16cid:durableId="1701005756">
    <w:abstractNumId w:val="17"/>
  </w:num>
  <w:num w:numId="16" w16cid:durableId="1484350578">
    <w:abstractNumId w:val="23"/>
  </w:num>
  <w:num w:numId="17" w16cid:durableId="637076623">
    <w:abstractNumId w:val="25"/>
  </w:num>
  <w:num w:numId="18" w16cid:durableId="1520192016">
    <w:abstractNumId w:val="8"/>
  </w:num>
  <w:num w:numId="19" w16cid:durableId="534150253">
    <w:abstractNumId w:val="9"/>
  </w:num>
  <w:num w:numId="20" w16cid:durableId="1486431178">
    <w:abstractNumId w:val="6"/>
  </w:num>
  <w:num w:numId="21" w16cid:durableId="640043705">
    <w:abstractNumId w:val="5"/>
  </w:num>
  <w:num w:numId="22" w16cid:durableId="1483808681">
    <w:abstractNumId w:val="4"/>
  </w:num>
  <w:num w:numId="23" w16cid:durableId="1380936185">
    <w:abstractNumId w:val="10"/>
  </w:num>
  <w:num w:numId="24" w16cid:durableId="1677223662">
    <w:abstractNumId w:val="11"/>
  </w:num>
  <w:num w:numId="25" w16cid:durableId="170803894">
    <w:abstractNumId w:val="7"/>
  </w:num>
  <w:num w:numId="26" w16cid:durableId="1841509339">
    <w:abstractNumId w:val="21"/>
  </w:num>
  <w:num w:numId="27" w16cid:durableId="570577219">
    <w:abstractNumId w:val="12"/>
  </w:num>
  <w:num w:numId="28" w16cid:durableId="7026371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5063"/>
    <w:rsid w:val="00003DBA"/>
    <w:rsid w:val="000323F9"/>
    <w:rsid w:val="0004470E"/>
    <w:rsid w:val="00053552"/>
    <w:rsid w:val="00063B07"/>
    <w:rsid w:val="000700A5"/>
    <w:rsid w:val="00075A84"/>
    <w:rsid w:val="000815D1"/>
    <w:rsid w:val="000B5952"/>
    <w:rsid w:val="000C2FF1"/>
    <w:rsid w:val="000C5AEB"/>
    <w:rsid w:val="0010555F"/>
    <w:rsid w:val="00107C2D"/>
    <w:rsid w:val="00111358"/>
    <w:rsid w:val="001129D8"/>
    <w:rsid w:val="001168EA"/>
    <w:rsid w:val="00124BE9"/>
    <w:rsid w:val="00125A23"/>
    <w:rsid w:val="00141BCF"/>
    <w:rsid w:val="00155063"/>
    <w:rsid w:val="00157BDA"/>
    <w:rsid w:val="00157CAC"/>
    <w:rsid w:val="0017314A"/>
    <w:rsid w:val="00193FEE"/>
    <w:rsid w:val="001B0884"/>
    <w:rsid w:val="001B3B2B"/>
    <w:rsid w:val="001B7840"/>
    <w:rsid w:val="001C603C"/>
    <w:rsid w:val="001D7BA7"/>
    <w:rsid w:val="001E4398"/>
    <w:rsid w:val="001E5BE5"/>
    <w:rsid w:val="001E6044"/>
    <w:rsid w:val="001F1B50"/>
    <w:rsid w:val="001F2268"/>
    <w:rsid w:val="00210C7E"/>
    <w:rsid w:val="00225C3B"/>
    <w:rsid w:val="00232DB5"/>
    <w:rsid w:val="00237EB1"/>
    <w:rsid w:val="00252BE5"/>
    <w:rsid w:val="002537C5"/>
    <w:rsid w:val="00265A45"/>
    <w:rsid w:val="002712B3"/>
    <w:rsid w:val="00271DE0"/>
    <w:rsid w:val="00274CB0"/>
    <w:rsid w:val="002823E9"/>
    <w:rsid w:val="002872A2"/>
    <w:rsid w:val="002B2A2E"/>
    <w:rsid w:val="002B36D2"/>
    <w:rsid w:val="002B4EB3"/>
    <w:rsid w:val="002D4C46"/>
    <w:rsid w:val="002D502F"/>
    <w:rsid w:val="002E6C26"/>
    <w:rsid w:val="002E7149"/>
    <w:rsid w:val="002F1128"/>
    <w:rsid w:val="002F28EE"/>
    <w:rsid w:val="002F6FA6"/>
    <w:rsid w:val="00306C44"/>
    <w:rsid w:val="00312546"/>
    <w:rsid w:val="003210C0"/>
    <w:rsid w:val="00342CA5"/>
    <w:rsid w:val="003444D4"/>
    <w:rsid w:val="00353AF7"/>
    <w:rsid w:val="00353B40"/>
    <w:rsid w:val="0035579A"/>
    <w:rsid w:val="00355C95"/>
    <w:rsid w:val="0035777C"/>
    <w:rsid w:val="00363C9E"/>
    <w:rsid w:val="00366B7B"/>
    <w:rsid w:val="00391ABD"/>
    <w:rsid w:val="003A2582"/>
    <w:rsid w:val="003B29D8"/>
    <w:rsid w:val="003B50E8"/>
    <w:rsid w:val="003C6D90"/>
    <w:rsid w:val="003C778F"/>
    <w:rsid w:val="003D0A34"/>
    <w:rsid w:val="003E4895"/>
    <w:rsid w:val="003E530F"/>
    <w:rsid w:val="003F03A2"/>
    <w:rsid w:val="003F4385"/>
    <w:rsid w:val="003F7430"/>
    <w:rsid w:val="003F7908"/>
    <w:rsid w:val="00413358"/>
    <w:rsid w:val="00416914"/>
    <w:rsid w:val="0042186C"/>
    <w:rsid w:val="00422011"/>
    <w:rsid w:val="00437C1A"/>
    <w:rsid w:val="00441512"/>
    <w:rsid w:val="00447655"/>
    <w:rsid w:val="00451517"/>
    <w:rsid w:val="004519AB"/>
    <w:rsid w:val="004540A8"/>
    <w:rsid w:val="00456423"/>
    <w:rsid w:val="004572EB"/>
    <w:rsid w:val="0046771E"/>
    <w:rsid w:val="00470990"/>
    <w:rsid w:val="00480F43"/>
    <w:rsid w:val="004838C1"/>
    <w:rsid w:val="004B3A77"/>
    <w:rsid w:val="004B59DE"/>
    <w:rsid w:val="004D2257"/>
    <w:rsid w:val="004D4011"/>
    <w:rsid w:val="004E2539"/>
    <w:rsid w:val="00501E82"/>
    <w:rsid w:val="00503FEE"/>
    <w:rsid w:val="00517C5D"/>
    <w:rsid w:val="00524773"/>
    <w:rsid w:val="005473A8"/>
    <w:rsid w:val="00550B2B"/>
    <w:rsid w:val="00563F77"/>
    <w:rsid w:val="00565979"/>
    <w:rsid w:val="0059155E"/>
    <w:rsid w:val="0059781C"/>
    <w:rsid w:val="005C2F3C"/>
    <w:rsid w:val="005E2D07"/>
    <w:rsid w:val="005F152E"/>
    <w:rsid w:val="005F39E8"/>
    <w:rsid w:val="00604173"/>
    <w:rsid w:val="006273E9"/>
    <w:rsid w:val="00634115"/>
    <w:rsid w:val="00636BA2"/>
    <w:rsid w:val="006700F6"/>
    <w:rsid w:val="00675762"/>
    <w:rsid w:val="00675F71"/>
    <w:rsid w:val="00680BDD"/>
    <w:rsid w:val="00686806"/>
    <w:rsid w:val="006916E9"/>
    <w:rsid w:val="00691CCE"/>
    <w:rsid w:val="0069465D"/>
    <w:rsid w:val="006947E0"/>
    <w:rsid w:val="006B24DC"/>
    <w:rsid w:val="006C0144"/>
    <w:rsid w:val="006D2E46"/>
    <w:rsid w:val="006F32CB"/>
    <w:rsid w:val="006F4F3E"/>
    <w:rsid w:val="0070427C"/>
    <w:rsid w:val="00734182"/>
    <w:rsid w:val="00736959"/>
    <w:rsid w:val="00740560"/>
    <w:rsid w:val="0074290D"/>
    <w:rsid w:val="007452CA"/>
    <w:rsid w:val="00746A5E"/>
    <w:rsid w:val="00750F12"/>
    <w:rsid w:val="00762EE7"/>
    <w:rsid w:val="007717B9"/>
    <w:rsid w:val="007756A0"/>
    <w:rsid w:val="0079540C"/>
    <w:rsid w:val="007A7474"/>
    <w:rsid w:val="007B424D"/>
    <w:rsid w:val="007C0F35"/>
    <w:rsid w:val="007C2F7C"/>
    <w:rsid w:val="007D7991"/>
    <w:rsid w:val="00814F66"/>
    <w:rsid w:val="0083282D"/>
    <w:rsid w:val="00840DCD"/>
    <w:rsid w:val="00843409"/>
    <w:rsid w:val="00843815"/>
    <w:rsid w:val="0085607E"/>
    <w:rsid w:val="00867AB4"/>
    <w:rsid w:val="00873427"/>
    <w:rsid w:val="008744B7"/>
    <w:rsid w:val="00891323"/>
    <w:rsid w:val="0089329E"/>
    <w:rsid w:val="008A774B"/>
    <w:rsid w:val="008B720C"/>
    <w:rsid w:val="008C32A2"/>
    <w:rsid w:val="008E35C5"/>
    <w:rsid w:val="008F7B72"/>
    <w:rsid w:val="00912669"/>
    <w:rsid w:val="00926041"/>
    <w:rsid w:val="0093428F"/>
    <w:rsid w:val="00937D81"/>
    <w:rsid w:val="009463D3"/>
    <w:rsid w:val="00954583"/>
    <w:rsid w:val="00961C77"/>
    <w:rsid w:val="00962060"/>
    <w:rsid w:val="009630FA"/>
    <w:rsid w:val="00963B20"/>
    <w:rsid w:val="00970108"/>
    <w:rsid w:val="00993C3D"/>
    <w:rsid w:val="009A65D4"/>
    <w:rsid w:val="009A66F2"/>
    <w:rsid w:val="009B0014"/>
    <w:rsid w:val="009B2038"/>
    <w:rsid w:val="009B67C9"/>
    <w:rsid w:val="009D72E8"/>
    <w:rsid w:val="009E0EA8"/>
    <w:rsid w:val="009E112F"/>
    <w:rsid w:val="009E180A"/>
    <w:rsid w:val="00A00B21"/>
    <w:rsid w:val="00A16FBE"/>
    <w:rsid w:val="00A306ED"/>
    <w:rsid w:val="00A5029F"/>
    <w:rsid w:val="00A63C3E"/>
    <w:rsid w:val="00A653AA"/>
    <w:rsid w:val="00A836CF"/>
    <w:rsid w:val="00A84A7A"/>
    <w:rsid w:val="00A8539F"/>
    <w:rsid w:val="00A93459"/>
    <w:rsid w:val="00A95CB0"/>
    <w:rsid w:val="00A96120"/>
    <w:rsid w:val="00AA3C74"/>
    <w:rsid w:val="00AA6F0B"/>
    <w:rsid w:val="00AB16C2"/>
    <w:rsid w:val="00AB1C9B"/>
    <w:rsid w:val="00AB2BFF"/>
    <w:rsid w:val="00AB4017"/>
    <w:rsid w:val="00AC573D"/>
    <w:rsid w:val="00AC76B1"/>
    <w:rsid w:val="00AD665C"/>
    <w:rsid w:val="00AE4E76"/>
    <w:rsid w:val="00AE7B0A"/>
    <w:rsid w:val="00AF182F"/>
    <w:rsid w:val="00B0315C"/>
    <w:rsid w:val="00B06534"/>
    <w:rsid w:val="00B20A24"/>
    <w:rsid w:val="00B22A12"/>
    <w:rsid w:val="00B27B9B"/>
    <w:rsid w:val="00B3394E"/>
    <w:rsid w:val="00B34214"/>
    <w:rsid w:val="00B73722"/>
    <w:rsid w:val="00BA5132"/>
    <w:rsid w:val="00BB296E"/>
    <w:rsid w:val="00BB6BAA"/>
    <w:rsid w:val="00BE60CB"/>
    <w:rsid w:val="00C06F53"/>
    <w:rsid w:val="00C24890"/>
    <w:rsid w:val="00C259F7"/>
    <w:rsid w:val="00C3542C"/>
    <w:rsid w:val="00C4765E"/>
    <w:rsid w:val="00C52AAD"/>
    <w:rsid w:val="00C64827"/>
    <w:rsid w:val="00C73A9B"/>
    <w:rsid w:val="00C8495F"/>
    <w:rsid w:val="00C85D51"/>
    <w:rsid w:val="00C919FD"/>
    <w:rsid w:val="00CA09D0"/>
    <w:rsid w:val="00CD3BFC"/>
    <w:rsid w:val="00CD5938"/>
    <w:rsid w:val="00CF4674"/>
    <w:rsid w:val="00D01428"/>
    <w:rsid w:val="00D0385D"/>
    <w:rsid w:val="00D107A6"/>
    <w:rsid w:val="00D14FD1"/>
    <w:rsid w:val="00D15DBC"/>
    <w:rsid w:val="00D27D50"/>
    <w:rsid w:val="00D3361B"/>
    <w:rsid w:val="00D43701"/>
    <w:rsid w:val="00D51FF7"/>
    <w:rsid w:val="00D6536A"/>
    <w:rsid w:val="00D7389F"/>
    <w:rsid w:val="00D85CCD"/>
    <w:rsid w:val="00D862AB"/>
    <w:rsid w:val="00D93E2B"/>
    <w:rsid w:val="00DA2FB2"/>
    <w:rsid w:val="00DA77A3"/>
    <w:rsid w:val="00DB4B68"/>
    <w:rsid w:val="00DD4C86"/>
    <w:rsid w:val="00DD599E"/>
    <w:rsid w:val="00DE0CEE"/>
    <w:rsid w:val="00DE5A49"/>
    <w:rsid w:val="00DE7CEB"/>
    <w:rsid w:val="00E32443"/>
    <w:rsid w:val="00E55B00"/>
    <w:rsid w:val="00E76AE7"/>
    <w:rsid w:val="00E90503"/>
    <w:rsid w:val="00EE71FB"/>
    <w:rsid w:val="00EE7637"/>
    <w:rsid w:val="00EF10B6"/>
    <w:rsid w:val="00EF6A76"/>
    <w:rsid w:val="00F4284B"/>
    <w:rsid w:val="00F43874"/>
    <w:rsid w:val="00F67EF7"/>
    <w:rsid w:val="00F82186"/>
    <w:rsid w:val="00F87BC5"/>
    <w:rsid w:val="00FB2FBB"/>
    <w:rsid w:val="00FB7291"/>
    <w:rsid w:val="00FE2785"/>
    <w:rsid w:val="00FE7723"/>
    <w:rsid w:val="00FF013B"/>
    <w:rsid w:val="00FF54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72633"/>
  <w15:docId w15:val="{1CEFA5BE-B26F-40CA-9F3D-353C1591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063"/>
    <w:rPr>
      <w:sz w:val="24"/>
      <w:szCs w:val="24"/>
      <w:lang w:val="en-US" w:eastAsia="en-US"/>
    </w:rPr>
  </w:style>
  <w:style w:type="paragraph" w:styleId="Heading1">
    <w:name w:val="heading 1"/>
    <w:basedOn w:val="Normal"/>
    <w:next w:val="Normal"/>
    <w:link w:val="Heading1Char"/>
    <w:qFormat/>
    <w:rsid w:val="0010555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856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3A2582"/>
    <w:rPr>
      <w:rFonts w:ascii="Tahoma" w:hAnsi="Tahoma" w:cs="Tahoma"/>
      <w:sz w:val="16"/>
      <w:szCs w:val="16"/>
    </w:rPr>
  </w:style>
  <w:style w:type="paragraph" w:customStyle="1" w:styleId="text">
    <w:name w:val="text"/>
    <w:rsid w:val="00FB7291"/>
    <w:pPr>
      <w:widowControl w:val="0"/>
      <w:spacing w:before="240" w:line="240" w:lineRule="exact"/>
      <w:jc w:val="both"/>
    </w:pPr>
    <w:rPr>
      <w:rFonts w:ascii="Arial" w:hAnsi="Arial"/>
      <w:snapToGrid w:val="0"/>
      <w:sz w:val="24"/>
      <w:lang w:val="cs-CZ" w:eastAsia="en-US"/>
    </w:rPr>
  </w:style>
  <w:style w:type="table" w:styleId="TableGrid">
    <w:name w:val="Table Grid"/>
    <w:basedOn w:val="TableNormal"/>
    <w:rsid w:val="006273E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6273E9"/>
    <w:pPr>
      <w:widowControl w:val="0"/>
      <w:spacing w:line="360" w:lineRule="exact"/>
      <w:jc w:val="center"/>
    </w:pPr>
    <w:rPr>
      <w:rFonts w:ascii="Arial" w:hAnsi="Arial"/>
      <w:b/>
      <w:snapToGrid w:val="0"/>
      <w:sz w:val="32"/>
      <w:szCs w:val="20"/>
      <w:lang w:val="cs-CZ"/>
    </w:rPr>
  </w:style>
  <w:style w:type="paragraph" w:customStyle="1" w:styleId="text-3mezera">
    <w:name w:val="text - 3 mezera"/>
    <w:basedOn w:val="Normal"/>
    <w:rsid w:val="00D107A6"/>
    <w:pPr>
      <w:widowControl w:val="0"/>
      <w:spacing w:before="60" w:line="240" w:lineRule="exact"/>
      <w:jc w:val="both"/>
    </w:pPr>
    <w:rPr>
      <w:rFonts w:ascii="Arial" w:hAnsi="Arial"/>
      <w:snapToGrid w:val="0"/>
      <w:szCs w:val="20"/>
      <w:lang w:val="cs-CZ"/>
    </w:rPr>
  </w:style>
  <w:style w:type="paragraph" w:customStyle="1" w:styleId="tabulka">
    <w:name w:val="tabulka"/>
    <w:basedOn w:val="text-3mezera"/>
    <w:rsid w:val="00D107A6"/>
    <w:pPr>
      <w:spacing w:before="120"/>
      <w:jc w:val="center"/>
    </w:pPr>
    <w:rPr>
      <w:sz w:val="20"/>
    </w:rPr>
  </w:style>
  <w:style w:type="paragraph" w:customStyle="1" w:styleId="bullet-3">
    <w:name w:val="bullet-3"/>
    <w:basedOn w:val="Normal"/>
    <w:uiPriority w:val="99"/>
    <w:rsid w:val="00C85D51"/>
    <w:pPr>
      <w:widowControl w:val="0"/>
      <w:spacing w:before="240" w:line="240" w:lineRule="exact"/>
      <w:ind w:left="2212" w:hanging="284"/>
      <w:jc w:val="both"/>
    </w:pPr>
    <w:rPr>
      <w:rFonts w:ascii="Arial" w:hAnsi="Arial"/>
      <w:snapToGrid w:val="0"/>
      <w:szCs w:val="20"/>
      <w:lang w:val="cs-CZ"/>
    </w:rPr>
  </w:style>
  <w:style w:type="paragraph" w:styleId="ListParagraph">
    <w:name w:val="List Paragraph"/>
    <w:aliases w:val="Italic Indent,tabella,List Paragraph1,NBS Clause,List Paragraph Char Char,numbered,Equipment,List Paragraph11,List 1 Paragraph,Table of contents numbered,Colorful List - Accent 11,Body,Dot pt,No Spacing1,Indicator Text,Numbered Para 1"/>
    <w:basedOn w:val="Normal"/>
    <w:link w:val="ListParagraphChar"/>
    <w:uiPriority w:val="34"/>
    <w:qFormat/>
    <w:rsid w:val="006F32CB"/>
    <w:pPr>
      <w:ind w:left="720"/>
      <w:contextualSpacing/>
    </w:pPr>
    <w:rPr>
      <w:lang w:val="en-GB"/>
    </w:rPr>
  </w:style>
  <w:style w:type="character" w:customStyle="1" w:styleId="ListParagraphChar">
    <w:name w:val="List Paragraph Char"/>
    <w:aliases w:val="Italic Indent Char,tabella Char,List Paragraph1 Char,NBS Clause Char,List Paragraph Char Char Char,numbered Char,Equipment Char,List Paragraph11 Char,List 1 Paragraph Char,Table of contents numbered Char,Body Char,Dot pt Char"/>
    <w:basedOn w:val="DefaultParagraphFont"/>
    <w:link w:val="ListParagraph"/>
    <w:uiPriority w:val="34"/>
    <w:locked/>
    <w:rsid w:val="006F32CB"/>
    <w:rPr>
      <w:sz w:val="24"/>
      <w:szCs w:val="24"/>
      <w:lang w:eastAsia="en-US"/>
    </w:rPr>
  </w:style>
  <w:style w:type="paragraph" w:customStyle="1" w:styleId="Hang1">
    <w:name w:val="Hang1"/>
    <w:basedOn w:val="Normal"/>
    <w:link w:val="Hang1Char"/>
    <w:rsid w:val="00C06F53"/>
    <w:pPr>
      <w:ind w:left="851" w:hanging="851"/>
      <w:jc w:val="both"/>
    </w:pPr>
    <w:rPr>
      <w:rFonts w:ascii="Ottawa" w:hAnsi="Ottawa"/>
      <w:sz w:val="22"/>
      <w:szCs w:val="20"/>
      <w:lang w:val="en-GB"/>
    </w:rPr>
  </w:style>
  <w:style w:type="character" w:customStyle="1" w:styleId="Hang1Char">
    <w:name w:val="Hang1 Char"/>
    <w:basedOn w:val="DefaultParagraphFont"/>
    <w:link w:val="Hang1"/>
    <w:locked/>
    <w:rsid w:val="00C06F53"/>
    <w:rPr>
      <w:rFonts w:ascii="Ottawa" w:hAnsi="Ottawa"/>
      <w:sz w:val="22"/>
      <w:lang w:eastAsia="en-US"/>
    </w:rPr>
  </w:style>
  <w:style w:type="character" w:customStyle="1" w:styleId="Heading2Char">
    <w:name w:val="Heading 2 Char"/>
    <w:basedOn w:val="DefaultParagraphFont"/>
    <w:link w:val="Heading2"/>
    <w:rsid w:val="009E0EA8"/>
    <w:rPr>
      <w:rFonts w:ascii="Arial" w:hAnsi="Arial" w:cs="Arial"/>
      <w:b/>
      <w:bCs/>
      <w:i/>
      <w:iCs/>
      <w:sz w:val="28"/>
      <w:szCs w:val="28"/>
      <w:lang w:val="en-US" w:eastAsia="en-US"/>
    </w:rPr>
  </w:style>
  <w:style w:type="character" w:customStyle="1" w:styleId="Heading1Char">
    <w:name w:val="Heading 1 Char"/>
    <w:basedOn w:val="DefaultParagraphFont"/>
    <w:link w:val="Heading1"/>
    <w:rsid w:val="0010555F"/>
    <w:rPr>
      <w:rFonts w:asciiTheme="majorHAnsi" w:eastAsiaTheme="majorEastAsia" w:hAnsiTheme="majorHAnsi" w:cstheme="majorBidi"/>
      <w:color w:val="365F91" w:themeColor="accent1" w:themeShade="BF"/>
      <w:sz w:val="32"/>
      <w:szCs w:val="32"/>
      <w:lang w:val="en-US" w:eastAsia="en-US"/>
    </w:rPr>
  </w:style>
  <w:style w:type="paragraph" w:customStyle="1" w:styleId="Default">
    <w:name w:val="Default"/>
    <w:rsid w:val="0010555F"/>
    <w:pPr>
      <w:autoSpaceDE w:val="0"/>
      <w:autoSpaceDN w:val="0"/>
      <w:adjustRightInd w:val="0"/>
    </w:pPr>
    <w:rPr>
      <w:rFonts w:ascii="Trebuchet MS" w:hAnsi="Trebuchet MS" w:cs="Trebuchet MS"/>
      <w:color w:val="000000"/>
      <w:sz w:val="24"/>
      <w:szCs w:val="24"/>
    </w:rPr>
  </w:style>
  <w:style w:type="paragraph" w:customStyle="1" w:styleId="TableParagraph">
    <w:name w:val="Table Paragraph"/>
    <w:basedOn w:val="Normal"/>
    <w:uiPriority w:val="1"/>
    <w:qFormat/>
    <w:rsid w:val="0010555F"/>
    <w:pPr>
      <w:widowControl w:val="0"/>
      <w:autoSpaceDE w:val="0"/>
      <w:autoSpaceDN w:val="0"/>
    </w:pPr>
    <w:rPr>
      <w:rFonts w:ascii="Trebuchet MS" w:eastAsia="Trebuchet MS" w:hAnsi="Trebuchet MS" w:cs="Trebuchet MS"/>
      <w:sz w:val="22"/>
      <w:szCs w:val="22"/>
    </w:rPr>
  </w:style>
  <w:style w:type="paragraph" w:styleId="Header">
    <w:name w:val="header"/>
    <w:basedOn w:val="Normal"/>
    <w:link w:val="HeaderChar"/>
    <w:unhideWhenUsed/>
    <w:rsid w:val="00675762"/>
    <w:pPr>
      <w:tabs>
        <w:tab w:val="center" w:pos="4513"/>
        <w:tab w:val="right" w:pos="9026"/>
      </w:tabs>
    </w:pPr>
  </w:style>
  <w:style w:type="character" w:customStyle="1" w:styleId="HeaderChar">
    <w:name w:val="Header Char"/>
    <w:basedOn w:val="DefaultParagraphFont"/>
    <w:link w:val="Header"/>
    <w:rsid w:val="00675762"/>
    <w:rPr>
      <w:sz w:val="24"/>
      <w:szCs w:val="24"/>
      <w:lang w:val="en-US" w:eastAsia="en-US"/>
    </w:rPr>
  </w:style>
  <w:style w:type="paragraph" w:styleId="Footer">
    <w:name w:val="footer"/>
    <w:basedOn w:val="Normal"/>
    <w:link w:val="FooterChar"/>
    <w:unhideWhenUsed/>
    <w:rsid w:val="00675762"/>
    <w:pPr>
      <w:tabs>
        <w:tab w:val="center" w:pos="4513"/>
        <w:tab w:val="right" w:pos="9026"/>
      </w:tabs>
    </w:pPr>
  </w:style>
  <w:style w:type="character" w:customStyle="1" w:styleId="FooterChar">
    <w:name w:val="Footer Char"/>
    <w:basedOn w:val="DefaultParagraphFont"/>
    <w:link w:val="Footer"/>
    <w:rsid w:val="00675762"/>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caa4ea-1ad1-4e82-bf9d-baacb4c206bb">
      <Terms xmlns="http://schemas.microsoft.com/office/infopath/2007/PartnerControls"/>
    </lcf76f155ced4ddcb4097134ff3c332f>
    <TaxCatchAll xmlns="7062927a-91a2-457e-aa0c-0e6542720b0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7247A2C7DED044AF5094410B954AF6" ma:contentTypeVersion="13" ma:contentTypeDescription="Create a new document." ma:contentTypeScope="" ma:versionID="9642a09ba8597974d9d0a0101dd81caa">
  <xsd:schema xmlns:xsd="http://www.w3.org/2001/XMLSchema" xmlns:xs="http://www.w3.org/2001/XMLSchema" xmlns:p="http://schemas.microsoft.com/office/2006/metadata/properties" xmlns:ns2="7bcaa4ea-1ad1-4e82-bf9d-baacb4c206bb" xmlns:ns3="7062927a-91a2-457e-aa0c-0e6542720b05" targetNamespace="http://schemas.microsoft.com/office/2006/metadata/properties" ma:root="true" ma:fieldsID="5e06dac67bd27a030f2d82423fa50b9c" ns2:_="" ns3:_="">
    <xsd:import namespace="7bcaa4ea-1ad1-4e82-bf9d-baacb4c206bb"/>
    <xsd:import namespace="7062927a-91a2-457e-aa0c-0e6542720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aa4ea-1ad1-4e82-bf9d-baacb4c20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48ce0d-b145-44f3-9673-e869a823f4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2927a-91a2-457e-aa0c-0e6542720b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bccc02-6ab0-402e-a08d-8591289a1ea2}" ma:internalName="TaxCatchAll" ma:showField="CatchAllData" ma:web="7062927a-91a2-457e-aa0c-0e6542720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762BB5-564E-49D6-BD96-E4F50F90CF8B}">
  <ds:schemaRefs>
    <ds:schemaRef ds:uri="http://schemas.microsoft.com/sharepoint/v3/contenttype/forms"/>
  </ds:schemaRefs>
</ds:datastoreItem>
</file>

<file path=customXml/itemProps2.xml><?xml version="1.0" encoding="utf-8"?>
<ds:datastoreItem xmlns:ds="http://schemas.openxmlformats.org/officeDocument/2006/customXml" ds:itemID="{C404B561-F477-46C5-816E-FDAECAF9AA81}">
  <ds:schemaRefs>
    <ds:schemaRef ds:uri="http://schemas.microsoft.com/office/2006/metadata/properties"/>
    <ds:schemaRef ds:uri="http://schemas.microsoft.com/office/infopath/2007/PartnerControls"/>
    <ds:schemaRef ds:uri="7bcaa4ea-1ad1-4e82-bf9d-baacb4c206bb"/>
    <ds:schemaRef ds:uri="7062927a-91a2-457e-aa0c-0e6542720b05"/>
  </ds:schemaRefs>
</ds:datastoreItem>
</file>

<file path=customXml/itemProps3.xml><?xml version="1.0" encoding="utf-8"?>
<ds:datastoreItem xmlns:ds="http://schemas.openxmlformats.org/officeDocument/2006/customXml" ds:itemID="{CEE79CB9-4D15-4640-84EA-21A8BAFCE2AA}">
  <ds:schemaRefs>
    <ds:schemaRef ds:uri="http://schemas.openxmlformats.org/officeDocument/2006/bibliography"/>
  </ds:schemaRefs>
</ds:datastoreItem>
</file>

<file path=customXml/itemProps4.xml><?xml version="1.0" encoding="utf-8"?>
<ds:datastoreItem xmlns:ds="http://schemas.openxmlformats.org/officeDocument/2006/customXml" ds:itemID="{071E089B-272C-4FDF-B61E-65A5FFDC2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aa4ea-1ad1-4e82-bf9d-baacb4c206bb"/>
    <ds:schemaRef ds:uri="7062927a-91a2-457e-aa0c-0e6542720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1979</Words>
  <Characters>11127</Characters>
  <Application>Microsoft Office Word</Application>
  <DocSecurity>0</DocSecurity>
  <Lines>247</Lines>
  <Paragraphs>132</Paragraphs>
  <ScaleCrop>false</ScaleCrop>
  <HeadingPairs>
    <vt:vector size="2" baseType="variant">
      <vt:variant>
        <vt:lpstr>Title</vt:lpstr>
      </vt:variant>
      <vt:variant>
        <vt:i4>1</vt:i4>
      </vt:variant>
    </vt:vector>
  </HeadingPairs>
  <TitlesOfParts>
    <vt:vector size="1" baseType="lpstr">
      <vt:lpstr>Right of Recourse</vt:lpstr>
    </vt:vector>
  </TitlesOfParts>
  <Company>Department of Contracts</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 of Recourse</dc:title>
  <dc:creator>Paola Loc. Council</dc:creator>
  <cp:lastModifiedBy>EuropeanFunds - Ray</cp:lastModifiedBy>
  <cp:revision>206</cp:revision>
  <dcterms:created xsi:type="dcterms:W3CDTF">2023-03-20T19:18:00Z</dcterms:created>
  <dcterms:modified xsi:type="dcterms:W3CDTF">2026-06-22T14:15:00Z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0x010100B37247A2C7DED044AF5094410B954AF6</vt:lpwstr>
  </property>
  <property fmtid="{D5CDD505-2E9C-101B-9397-08002B2CF9AE}" pid="3" name="MediaServiceImageTags">
    <vt:lpwstr/>
  </property>
  <property fmtid="{D5CDD505-2E9C-101B-9397-08002B2CF9AE}" pid="4" name="docLang">
    <vt:lpwstr>en</vt:lpwstr>
  </property>
</Properties>
</file>